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C. diff - Get Involved</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305admin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2020-09-14 20:01:12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pBdr>
          <w:top w:val="none" w:sz="0" w:space="0" w:color="auto"/>
          <w:left w:val="none" w:sz="0" w:space="0" w:color="auto"/>
          <w:bottom w:val="none" w:sz="0" w:space="0" w:color="auto"/>
          <w:right w:val="none" w:sz="0" w:space="0" w:color="auto"/>
        </w:pBdr>
        <w:spacing w:before="0"/>
        <w:ind w:left="0" w:right="0"/>
      </w:pPr>
      <w:r>
        <w:rPr>
          <w:rStyle w:val="fusion-imageframeimageframe-noneimageframe-6hover-type-none"/>
          <w:strike w:val="0"/>
          <w:u w:val="none"/>
        </w:rPr>
        <w:drawing>
          <wp:inline>
            <wp:extent cx="11410950" cy="428625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4286250"/>
                    </a:xfrm>
                    <a:prstGeom prst="rect">
                      <a:avLst/>
                    </a:prstGeom>
                  </pic:spPr>
                </pic:pic>
              </a:graphicData>
            </a:graphic>
          </wp:inline>
        </w:drawing>
      </w:r>
    </w:p>
    <w:p>
      <w:pPr>
        <w:pStyle w:val="Heading1"/>
        <w:keepNext w:val="0"/>
        <w:keepLines w:val="0"/>
        <w:spacing w:before="150" w:after="75"/>
        <w:ind w:left="0" w:right="0"/>
        <w:jc w:val="left"/>
        <w:rPr>
          <w:b/>
          <w:bCs/>
          <w:sz w:val="54"/>
          <w:szCs w:val="54"/>
        </w:rPr>
      </w:pPr>
      <w:r>
        <w:rPr>
          <w:rFonts w:ascii="Times New Roman" w:eastAsia="Times New Roman" w:hAnsi="Times New Roman" w:cs="Times New Roman"/>
          <w:i w:val="0"/>
          <w:color w:val="auto"/>
          <w:sz w:val="54"/>
          <w:szCs w:val="54"/>
        </w:rPr>
        <w:t xml:space="preserve">Join the Battle to Defeat </w:t>
      </w:r>
      <w:r>
        <w:rPr>
          <w:rFonts w:ascii="Times New Roman" w:eastAsia="Times New Roman" w:hAnsi="Times New Roman" w:cs="Times New Roman"/>
          <w:i/>
          <w:iCs/>
          <w:color w:val="auto"/>
          <w:sz w:val="54"/>
          <w:szCs w:val="54"/>
        </w:rPr>
        <w:t>C. diff</w:t>
      </w:r>
      <w:r>
        <w:rPr>
          <w:rFonts w:ascii="Times New Roman" w:eastAsia="Times New Roman" w:hAnsi="Times New Roman" w:cs="Times New Roman"/>
          <w:i w:val="0"/>
          <w:color w:val="auto"/>
          <w:sz w:val="54"/>
          <w:szCs w:val="54"/>
        </w:rPr>
        <w:t xml:space="preserve"> Infection</w:t>
      </w:r>
    </w:p>
    <w:p>
      <w:pPr>
        <w:spacing w:before="240" w:after="240"/>
        <w:ind w:left="0" w:right="0"/>
      </w:pPr>
      <w:r>
        <w:t xml:space="preserve">If you have been diagnosed C. </w:t>
      </w:r>
      <w:r>
        <w:rPr>
          <w:i/>
          <w:iCs/>
        </w:rPr>
        <w:t>diff</w:t>
      </w:r>
      <w:r>
        <w:t xml:space="preserve">, you are not alone. A research study at the Louisiana Research Center aims to stop C. </w:t>
      </w:r>
      <w:r>
        <w:rPr>
          <w:i/>
          <w:iCs/>
        </w:rPr>
        <w:t>diff</w:t>
      </w:r>
      <w:r>
        <w:t xml:space="preserve"> from returning.</w:t>
      </w:r>
    </w:p>
    <w:p>
      <w:pPr>
        <w:spacing w:before="240" w:after="240"/>
        <w:ind w:left="0" w:right="0"/>
      </w:pPr>
      <w:r>
        <w:rPr>
          <w:b/>
          <w:bCs/>
        </w:rPr>
        <w:t>PUNCH CD3-OLS</w:t>
      </w:r>
      <w:r>
        <w:t xml:space="preserve"> is a clinical study to evaluate the safety and tolerability of </w:t>
      </w:r>
      <w:r>
        <w:rPr>
          <w:b/>
          <w:bCs/>
        </w:rPr>
        <w:t>Rebiotix RBX2660</w:t>
      </w:r>
      <w:r>
        <w:t xml:space="preserve"> for the prevention of recurrent </w:t>
      </w:r>
      <w:r>
        <w:rPr>
          <w:i/>
          <w:iCs/>
        </w:rPr>
        <w:t>Clostridium difficile</w:t>
      </w:r>
      <w:r>
        <w:t> infection (</w:t>
      </w:r>
      <w:r>
        <w:rPr>
          <w:i/>
          <w:iCs/>
        </w:rPr>
        <w:t>C. diff</w:t>
      </w:r>
      <w:r>
        <w:t xml:space="preserve"> or CDI). With this study option, many more people that suffer from recurrent </w:t>
      </w:r>
      <w:r>
        <w:rPr>
          <w:i/>
          <w:iCs/>
        </w:rPr>
        <w:t>C.</w:t>
      </w:r>
      <w:r>
        <w:t xml:space="preserve"> </w:t>
      </w:r>
      <w:r>
        <w:rPr>
          <w:i/>
          <w:iCs/>
        </w:rPr>
        <w:t>diff</w:t>
      </w:r>
      <w:r>
        <w:t xml:space="preserve"> may now qualify for study participation.</w:t>
      </w:r>
    </w:p>
    <w:p>
      <w:pPr>
        <w:spacing w:before="240" w:after="240"/>
        <w:ind w:left="0" w:right="0"/>
      </w:pPr>
      <w:r>
        <w:t>Study patients receive expert medical care and specialized attention from the study team. The cost of the study drug, study-related tests, as well as study follow-up calls and visits will be covered by the study sponsor, Rebiotix.</w:t>
      </w:r>
    </w:p>
    <w:p>
      <w:pPr>
        <w:pStyle w:val="Heading4"/>
        <w:keepNext w:val="0"/>
        <w:keepLines w:val="0"/>
        <w:spacing w:before="150" w:after="75"/>
        <w:ind w:left="0" w:right="0"/>
        <w:rPr>
          <w:b/>
          <w:bCs/>
        </w:rPr>
      </w:pPr>
      <w:r>
        <w:rPr>
          <w:rFonts w:ascii="Times New Roman" w:eastAsia="Times New Roman" w:hAnsi="Times New Roman" w:cs="Times New Roman"/>
          <w:i w:val="0"/>
          <w:iCs w:val="0"/>
          <w:color w:val="auto"/>
        </w:rPr>
        <w:t>How to Participate</w:t>
      </w:r>
    </w:p>
    <w:p>
      <w:pPr>
        <w:spacing w:before="240" w:after="240"/>
        <w:ind w:left="0" w:right="0"/>
      </w:pPr>
      <w:r>
        <w:t>Patients that may qualify for the PUNCH CD3-OLS study:</w:t>
      </w:r>
    </w:p>
    <w:p>
      <w:pPr>
        <w:numPr>
          <w:ilvl w:val="0"/>
          <w:numId w:val="1"/>
        </w:numPr>
        <w:spacing w:before="240"/>
        <w:ind w:left="720" w:right="0" w:hanging="210"/>
        <w:jc w:val="left"/>
      </w:pPr>
      <w:r>
        <w:t>18 years and older</w:t>
      </w:r>
    </w:p>
    <w:p>
      <w:pPr>
        <w:numPr>
          <w:ilvl w:val="0"/>
          <w:numId w:val="1"/>
        </w:numPr>
        <w:ind w:left="720" w:right="0" w:hanging="210"/>
        <w:jc w:val="left"/>
      </w:pPr>
      <w:r>
        <w:t xml:space="preserve">Have experienced more than one </w:t>
      </w:r>
      <w:r>
        <w:rPr>
          <w:i/>
          <w:iCs/>
        </w:rPr>
        <w:t>C diff</w:t>
      </w:r>
      <w:r>
        <w:t xml:space="preserve"> infection</w:t>
      </w:r>
    </w:p>
    <w:p>
      <w:pPr>
        <w:numPr>
          <w:ilvl w:val="0"/>
          <w:numId w:val="1"/>
        </w:numPr>
        <w:ind w:left="720" w:right="0" w:hanging="210"/>
        <w:jc w:val="left"/>
      </w:pPr>
      <w:r>
        <w:t xml:space="preserve">Currently taking or just prescribed antibiotics to control </w:t>
      </w:r>
      <w:r>
        <w:rPr>
          <w:i/>
          <w:iCs/>
        </w:rPr>
        <w:t>C diff</w:t>
      </w:r>
      <w:r>
        <w:t xml:space="preserve"> diarrhea</w:t>
      </w:r>
    </w:p>
    <w:p>
      <w:pPr>
        <w:numPr>
          <w:ilvl w:val="0"/>
          <w:numId w:val="1"/>
        </w:numPr>
        <w:spacing w:after="240"/>
        <w:ind w:left="720" w:right="0" w:hanging="210"/>
        <w:jc w:val="left"/>
      </w:pPr>
      <w:r>
        <w:t>Willing and able to meet all study requirements</w:t>
      </w:r>
    </w:p>
    <w:p>
      <w:pPr>
        <w:pStyle w:val="Heading4"/>
        <w:keepNext w:val="0"/>
        <w:keepLines w:val="0"/>
        <w:spacing w:before="150" w:after="75"/>
        <w:ind w:left="0" w:right="0"/>
        <w:rPr>
          <w:b/>
          <w:bCs/>
        </w:rPr>
      </w:pPr>
      <w:r>
        <w:rPr>
          <w:rFonts w:ascii="Times New Roman" w:eastAsia="Times New Roman" w:hAnsi="Times New Roman" w:cs="Times New Roman"/>
          <w:i w:val="0"/>
          <w:iCs w:val="0"/>
          <w:color w:val="auto"/>
        </w:rPr>
        <w:t>What is RBX2660 and how does it prevent </w:t>
      </w:r>
      <w:r>
        <w:rPr>
          <w:rFonts w:ascii="Times New Roman" w:eastAsia="Times New Roman" w:hAnsi="Times New Roman" w:cs="Times New Roman"/>
          <w:i/>
          <w:color w:val="auto"/>
        </w:rPr>
        <w:t>C. diff</w:t>
      </w:r>
      <w:r>
        <w:rPr>
          <w:rFonts w:ascii="Times New Roman" w:eastAsia="Times New Roman" w:hAnsi="Times New Roman" w:cs="Times New Roman"/>
          <w:i w:val="0"/>
          <w:iCs w:val="0"/>
          <w:color w:val="auto"/>
        </w:rPr>
        <w:t> infection?</w:t>
      </w:r>
    </w:p>
    <w:p>
      <w:pPr>
        <w:spacing w:before="240" w:after="240"/>
        <w:ind w:left="0" w:right="0"/>
      </w:pPr>
      <w:r>
        <w:t>RBX2660 (microbiota suspension) is an investigational new drug that may prevent recurrent </w:t>
      </w:r>
      <w:r>
        <w:rPr>
          <w:i/>
          <w:iCs/>
        </w:rPr>
        <w:t>C. diff</w:t>
      </w:r>
      <w:r>
        <w:t> infection from returning. It is a biologic drug product prepared from live intestinal microbes, which are tiny living cells that can’t be seen without a microscope. The study drug is delivered in a single simple enema, unlike Fecal Microbiota Transplant (FMT) by colonoscopy or taking many pills.</w:t>
      </w:r>
    </w:p>
    <w:p>
      <w:pPr>
        <w:spacing w:before="240" w:after="240"/>
        <w:ind w:left="0" w:right="0"/>
      </w:pPr>
      <w:r>
        <w:t>Everyone has "good" and "bad" microbes that live in their intestines. In healthy people, the good microbes keep the bad microbes in balance. There is scientific evidence that people who experience repeated episodes of </w:t>
      </w:r>
      <w:r>
        <w:rPr>
          <w:i/>
          <w:iCs/>
        </w:rPr>
        <w:t>C. diff</w:t>
      </w:r>
      <w:r>
        <w:t> may have an imbalance in their intestines that allows the "bad" microbes to grow more easily and overtake the good microbes, which causes severe diarrhea and other symptoms, and can be life-threatening.</w:t>
      </w:r>
      <w:r>
        <w:rPr>
          <w:sz w:val="30"/>
          <w:szCs w:val="30"/>
          <w:vertAlign w:val="superscript"/>
        </w:rPr>
        <w:t>1</w:t>
      </w:r>
    </w:p>
    <w:p>
      <w:pPr>
        <w:spacing w:before="240" w:after="240"/>
        <w:ind w:left="0" w:right="0"/>
      </w:pPr>
      <w:r>
        <w:t>Some research studies have shown that putting a mix of good microbes into the intestines of someone infected with </w:t>
      </w:r>
      <w:r>
        <w:rPr>
          <w:i/>
          <w:iCs/>
        </w:rPr>
        <w:t>C. diff</w:t>
      </w:r>
      <w:r>
        <w:t> may relieve or stop recurrent </w:t>
      </w:r>
      <w:r>
        <w:rPr>
          <w:i/>
          <w:iCs/>
        </w:rPr>
        <w:t>C. diff</w:t>
      </w:r>
      <w:r>
        <w:t>.</w:t>
      </w:r>
      <w:r>
        <w:rPr>
          <w:sz w:val="30"/>
          <w:szCs w:val="30"/>
          <w:vertAlign w:val="superscript"/>
        </w:rPr>
        <w:t>2,3</w:t>
      </w:r>
      <w:r>
        <w:t> The purpose of this study is to learn about the safety of RBX2660, and determine whether it is effective at preventing recurrent </w:t>
      </w:r>
      <w:r>
        <w:rPr>
          <w:i/>
          <w:iCs/>
        </w:rPr>
        <w:t>C. diff</w:t>
      </w:r>
      <w:r>
        <w:t> infections.</w:t>
      </w:r>
    </w:p>
    <w:p>
      <w:pPr>
        <w:ind w:left="0" w:right="0"/>
        <w:rPr>
          <w:sz w:val="17"/>
          <w:szCs w:val="17"/>
        </w:rPr>
      </w:pPr>
      <w:r>
        <w:rPr>
          <w:sz w:val="17"/>
          <w:szCs w:val="17"/>
        </w:rPr>
        <w:t>References</w:t>
      </w:r>
    </w:p>
    <w:p>
      <w:pPr>
        <w:numPr>
          <w:ilvl w:val="0"/>
          <w:numId w:val="2"/>
        </w:numPr>
        <w:spacing w:before="0"/>
        <w:ind w:left="720" w:right="0" w:hanging="228"/>
        <w:jc w:val="left"/>
        <w:rPr>
          <w:sz w:val="17"/>
          <w:szCs w:val="17"/>
        </w:rPr>
      </w:pPr>
      <w:r>
        <w:rPr>
          <w:sz w:val="17"/>
          <w:szCs w:val="17"/>
        </w:rPr>
        <w:t>Rupnik M, Wilcox MH, Gerding DN. </w:t>
      </w:r>
      <w:r>
        <w:rPr>
          <w:i/>
          <w:iCs/>
          <w:sz w:val="17"/>
          <w:szCs w:val="17"/>
        </w:rPr>
        <w:t>Clostridium difficile</w:t>
      </w:r>
      <w:r>
        <w:rPr>
          <w:sz w:val="17"/>
          <w:szCs w:val="17"/>
        </w:rPr>
        <w:t>Infection: new developments in epidemiology and pathogenesis. Nat Rev Microbiol. 2009; 7(7):526-536.</w:t>
      </w:r>
    </w:p>
    <w:p>
      <w:pPr>
        <w:numPr>
          <w:ilvl w:val="0"/>
          <w:numId w:val="2"/>
        </w:numPr>
        <w:ind w:left="720" w:right="0" w:hanging="228"/>
        <w:jc w:val="left"/>
        <w:rPr>
          <w:sz w:val="17"/>
          <w:szCs w:val="17"/>
        </w:rPr>
      </w:pPr>
      <w:r>
        <w:rPr>
          <w:sz w:val="17"/>
          <w:szCs w:val="17"/>
        </w:rPr>
        <w:t>van Nood E, Vrieze A, Nieuwdorp M, et al. Duodenal Infusion of donor feces for Recurrent </w:t>
      </w:r>
      <w:r>
        <w:rPr>
          <w:i/>
          <w:iCs/>
          <w:sz w:val="17"/>
          <w:szCs w:val="17"/>
        </w:rPr>
        <w:t>Clostridium difficle</w:t>
      </w:r>
      <w:r>
        <w:rPr>
          <w:sz w:val="17"/>
          <w:szCs w:val="17"/>
        </w:rPr>
        <w:t>. N Eng J Med 2013; 386(5):407-415.</w:t>
      </w:r>
    </w:p>
    <w:p>
      <w:pPr>
        <w:numPr>
          <w:ilvl w:val="0"/>
          <w:numId w:val="2"/>
        </w:numPr>
        <w:spacing w:after="165"/>
        <w:ind w:left="720" w:right="0" w:hanging="228"/>
        <w:jc w:val="left"/>
        <w:rPr>
          <w:sz w:val="17"/>
          <w:szCs w:val="17"/>
        </w:rPr>
      </w:pPr>
      <w:r>
        <w:rPr>
          <w:sz w:val="17"/>
          <w:szCs w:val="17"/>
        </w:rPr>
        <w:t>Gough E, Shaikh H, Manges AR. Systematic review of intestinal microbiota transplantation (fecal bacteriotherapy) for Recurrent </w:t>
      </w:r>
      <w:r>
        <w:rPr>
          <w:i/>
          <w:iCs/>
          <w:sz w:val="17"/>
          <w:szCs w:val="17"/>
        </w:rPr>
        <w:t>Clostridium difficile</w:t>
      </w:r>
      <w:r>
        <w:rPr>
          <w:sz w:val="17"/>
          <w:szCs w:val="17"/>
        </w:rPr>
        <w:t xml:space="preserve"> Clin Infect Dis. 2011 Nov; 53(10):994-1002.</w:t>
      </w:r>
    </w:p>
    <w:p>
      <w:pPr>
        <w:bidi w:val="0"/>
        <w:spacing w:before="240"/>
        <w:ind w:left="0" w:right="0"/>
        <w:rPr>
          <w:lang w:val="en-US" w:eastAsia="en-US"/>
        </w:rPr>
      </w:pPr>
      <w:r>
        <w:pict>
          <v:rect id="_x0000_i1025" style="width:468pt;height:1.5pt" o:hrpct="1000" o:hralign="center" o:hrstd="t" o:hr="t" filled="t" fillcolor="gray" stroked="f">
            <v:path strokeok="f"/>
          </v:rect>
        </w:pict>
      </w:r>
    </w:p>
    <w:p>
      <w:pPr>
        <w:pStyle w:val="Heading4"/>
        <w:keepNext w:val="0"/>
        <w:keepLines w:val="0"/>
        <w:bidi w:val="0"/>
        <w:spacing w:before="150" w:after="75"/>
        <w:ind w:left="0" w:right="0"/>
        <w:rPr>
          <w:b/>
          <w:bCs/>
          <w:lang w:val="en-US" w:eastAsia="en-US"/>
        </w:rPr>
      </w:pPr>
      <w:r>
        <w:rPr>
          <w:rFonts w:ascii="Times New Roman" w:eastAsia="Times New Roman" w:hAnsi="Times New Roman" w:cs="Times New Roman"/>
          <w:i w:val="0"/>
          <w:iCs w:val="0"/>
          <w:color w:val="auto"/>
          <w:lang w:val="en-US" w:eastAsia="en-US"/>
        </w:rPr>
        <w:t xml:space="preserve">How Do I Get Involved? </w:t>
      </w:r>
    </w:p>
    <w:p>
      <w:pPr>
        <w:bidi w:val="0"/>
        <w:spacing w:before="240" w:after="240"/>
        <w:ind w:left="0" w:right="0"/>
        <w:rPr>
          <w:lang w:val="en-US" w:eastAsia="en-US"/>
        </w:rPr>
      </w:pPr>
      <w:r>
        <w:rPr>
          <w:lang w:val="en-US" w:eastAsia="en-US"/>
        </w:rPr>
        <w:t xml:space="preserve">The PUNCH CD3-OLS clinical study is open for adults with recurrent C. diff infection that is only controlled by taking antibiotics. To speak with the clinical research coordinator, please provide the following information: </w:t>
      </w:r>
    </w:p>
    <w:p>
      <w:pPr>
        <w:bidi w:val="0"/>
        <w:spacing w:before="240" w:after="240"/>
        <w:ind w:left="0" w:right="0"/>
        <w:rPr>
          <w:rStyle w:val="wpcf7-form-control-wrap"/>
          <w:rFonts w:ascii="Arial" w:eastAsia="Arial" w:hAnsi="Arial" w:cs="Arial"/>
          <w:sz w:val="24"/>
          <w:szCs w:val="24"/>
          <w:lang w:val="en-US" w:eastAsia="en-US"/>
        </w:rPr>
      </w:pPr>
      <w:r>
        <w:rPr>
          <w:lang w:val="en-US" w:eastAsia="en-US"/>
        </w:rPr>
        <w:t>First and Last Name</w:t>
      </w:r>
      <w:r>
        <w:rPr>
          <w:lang w:val="en-US" w:eastAsia="en-US"/>
        </w:rPr>
        <w:br/>
      </w:r>
      <w:r>
        <w:rPr>
          <w:rStyle w:val="wpcf7-form-control-wrap"/>
          <w:rFonts w:ascii="Arial" w:eastAsia="Arial" w:hAnsi="Arial" w:cs="Arial"/>
          <w:sz w:val="24"/>
          <w:szCs w:val="24"/>
          <w:lang w:val="en-US" w:eastAsia="en-US"/>
        </w:rPr>
        <w:fldChar w:fldCharType="begin">
          <w:ffData>
            <w:name w:val="first-name"/>
            <w:enabled/>
            <w:calcOnExit w:val="0"/>
            <w:textInput/>
          </w:ffData>
        </w:fldChar>
      </w:r>
      <w:bookmarkStart w:id="0" w:name="first-name"/>
      <w:r>
        <w:rPr>
          <w:rStyle w:val="wpcf7-form-control-wrap"/>
          <w:rFonts w:ascii="Arial" w:eastAsia="Arial" w:hAnsi="Arial" w:cs="Arial"/>
          <w:sz w:val="24"/>
          <w:szCs w:val="24"/>
          <w:lang w:val="en-US" w:eastAsia="en-US"/>
        </w:rPr>
        <w:instrText xml:space="preserve"> FORMTEXT </w:instrText>
      </w:r>
      <w:r>
        <w:rPr>
          <w:rStyle w:val="wpcf7-form-control-wrap"/>
          <w:rFonts w:ascii="Arial" w:eastAsia="Arial" w:hAnsi="Arial" w:cs="Arial"/>
          <w:sz w:val="24"/>
          <w:szCs w:val="24"/>
          <w:lang w:val="en-US" w:eastAsia="en-US"/>
        </w:rPr>
        <w:fldChar w:fldCharType="separate"/>
      </w:r>
      <w:r>
        <w:rPr>
          <w:rStyle w:val="wpcf7-form-control-wrap"/>
          <w:rFonts w:ascii="Arial" w:eastAsia="Arial" w:hAnsi="Arial" w:cs="Arial"/>
          <w:sz w:val="24"/>
          <w:szCs w:val="24"/>
          <w:lang w:val="en-US" w:eastAsia="en-US"/>
        </w:rPr>
        <w:t> </w:t>
      </w:r>
      <w:r>
        <w:rPr>
          <w:rStyle w:val="wpcf7-form-control-wrap"/>
          <w:rFonts w:ascii="Arial" w:eastAsia="Arial" w:hAnsi="Arial" w:cs="Arial"/>
          <w:sz w:val="24"/>
          <w:szCs w:val="24"/>
          <w:lang w:val="en-US" w:eastAsia="en-US"/>
        </w:rPr>
        <w:t> </w:t>
      </w:r>
      <w:r>
        <w:rPr>
          <w:rStyle w:val="wpcf7-form-control-wrap"/>
          <w:rFonts w:ascii="Arial" w:eastAsia="Arial" w:hAnsi="Arial" w:cs="Arial"/>
          <w:sz w:val="24"/>
          <w:szCs w:val="24"/>
          <w:lang w:val="en-US" w:eastAsia="en-US"/>
        </w:rPr>
        <w:t> </w:t>
      </w:r>
      <w:r>
        <w:rPr>
          <w:rStyle w:val="wpcf7-form-control-wrap"/>
          <w:rFonts w:ascii="Arial" w:eastAsia="Arial" w:hAnsi="Arial" w:cs="Arial"/>
          <w:sz w:val="24"/>
          <w:szCs w:val="24"/>
          <w:lang w:val="en-US" w:eastAsia="en-US"/>
        </w:rPr>
        <w:t> </w:t>
      </w:r>
      <w:r>
        <w:rPr>
          <w:rStyle w:val="wpcf7-form-control-wrap"/>
          <w:rFonts w:ascii="Arial" w:eastAsia="Arial" w:hAnsi="Arial" w:cs="Arial"/>
          <w:sz w:val="24"/>
          <w:szCs w:val="24"/>
          <w:lang w:val="en-US" w:eastAsia="en-US"/>
        </w:rPr>
        <w:t> </w:t>
      </w:r>
      <w:r>
        <w:rPr>
          <w:rStyle w:val="wpcf7-form-control-wrap"/>
          <w:rFonts w:ascii="Arial" w:eastAsia="Arial" w:hAnsi="Arial" w:cs="Arial"/>
          <w:sz w:val="24"/>
          <w:szCs w:val="24"/>
          <w:lang w:val="en-US" w:eastAsia="en-US"/>
        </w:rPr>
        <w:fldChar w:fldCharType="end"/>
      </w:r>
      <w:bookmarkEnd w:id="0"/>
    </w:p>
    <w:p>
      <w:pPr>
        <w:bidi w:val="0"/>
        <w:spacing w:before="240" w:after="240"/>
        <w:ind w:left="0" w:right="0"/>
        <w:rPr>
          <w:lang w:val="en-US" w:eastAsia="en-US"/>
        </w:rPr>
      </w:pPr>
      <w:r>
        <w:rPr>
          <w:lang w:val="en-US" w:eastAsia="en-US"/>
        </w:rPr>
        <w:t>Best Way To Contact You</w:t>
      </w:r>
      <w:r>
        <w:rPr>
          <w:lang w:val="en-US" w:eastAsia="en-US"/>
        </w:rPr>
        <w:br/>
      </w:r>
      <w:r>
        <w:rPr>
          <w:lang w:val="en-US" w:eastAsia="en-US"/>
        </w:rPr>
        <w:fldChar w:fldCharType="begin">
          <w:ffData>
            <w:name w:val="BestWayToContactYou["/>
            <w:enabled/>
            <w:calcOnExit w:val="0"/>
            <w:checkBox>
              <w:size w:val="24"/>
              <w:default w:val="0"/>
              <w:checked w:val="0"/>
            </w:checkBox>
          </w:ffData>
        </w:fldChar>
      </w:r>
      <w:r>
        <w:rPr>
          <w:lang w:val="en-US" w:eastAsia="en-US"/>
        </w:rPr>
        <w:instrText xml:space="preserve"> FORMCHECKBOX </w:instrText>
      </w:r>
      <w:r>
        <w:rPr>
          <w:lang w:val="en-US" w:eastAsia="en-US"/>
        </w:rPr>
        <w:fldChar w:fldCharType="end"/>
      </w:r>
      <w:r>
        <w:rPr>
          <w:rStyle w:val="wpcf7-list-item-label"/>
          <w:lang w:val="en-US" w:eastAsia="en-US"/>
        </w:rPr>
        <w:t>Phone Number</w:t>
      </w:r>
      <w:r>
        <w:rPr>
          <w:rStyle w:val="wpcf7-list-item-label"/>
          <w:lang w:val="en-US" w:eastAsia="en-US"/>
        </w:rPr>
        <w:fldChar w:fldCharType="begin">
          <w:ffData>
            <w:name w:val="BestWayToContactYou["/>
            <w:enabled/>
            <w:calcOnExit w:val="0"/>
            <w:checkBox>
              <w:size w:val="24"/>
              <w:default w:val="0"/>
              <w:checked w:val="0"/>
            </w:checkBox>
          </w:ffData>
        </w:fldChar>
      </w:r>
      <w:bookmarkStart w:id="1" w:name="BestWayToContactYou["/>
      <w:r>
        <w:rPr>
          <w:rStyle w:val="wpcf7-list-item-label"/>
          <w:lang w:val="en-US" w:eastAsia="en-US"/>
        </w:rPr>
        <w:instrText xml:space="preserve"> FORMCHECKBOX </w:instrText>
      </w:r>
      <w:r>
        <w:rPr>
          <w:rStyle w:val="wpcf7-list-item-label"/>
          <w:lang w:val="en-US" w:eastAsia="en-US"/>
        </w:rPr>
        <w:fldChar w:fldCharType="end"/>
      </w:r>
      <w:bookmarkEnd w:id="1"/>
      <w:r>
        <w:rPr>
          <w:rStyle w:val="wpcf7-list-item-label"/>
          <w:lang w:val="en-US" w:eastAsia="en-US"/>
        </w:rPr>
        <w:t>Email</w:t>
      </w:r>
    </w:p>
    <w:p>
      <w:pPr>
        <w:bidi w:val="0"/>
        <w:spacing w:before="240" w:after="240"/>
        <w:ind w:left="0" w:right="0"/>
        <w:rPr>
          <w:rStyle w:val="wpcf7-form-control-wrap"/>
          <w:rFonts w:ascii="Arial" w:eastAsia="Arial" w:hAnsi="Arial" w:cs="Arial"/>
          <w:sz w:val="24"/>
          <w:szCs w:val="24"/>
          <w:lang w:val="en-US" w:eastAsia="en-US"/>
        </w:rPr>
      </w:pPr>
      <w:r>
        <w:rPr>
          <w:lang w:val="en-US" w:eastAsia="en-US"/>
        </w:rPr>
        <w:t>Contact Number</w:t>
      </w:r>
      <w:r>
        <w:rPr>
          <w:lang w:val="en-US" w:eastAsia="en-US"/>
        </w:rPr>
        <w:br/>
      </w:r>
      <w:r>
        <w:rPr>
          <w:rStyle w:val="wpcf7-form-control-wrap"/>
          <w:rFonts w:ascii="Arial" w:eastAsia="Arial" w:hAnsi="Arial" w:cs="Arial"/>
          <w:sz w:val="24"/>
          <w:szCs w:val="24"/>
          <w:lang w:val="en-US" w:eastAsia="en-US"/>
        </w:rPr>
        <w:fldChar w:fldCharType="begin">
          <w:ffData>
            <w:name w:val="contact-number"/>
            <w:enabled/>
            <w:calcOnExit w:val="0"/>
            <w:textInput/>
          </w:ffData>
        </w:fldChar>
      </w:r>
      <w:bookmarkStart w:id="2" w:name="contact-number"/>
      <w:r>
        <w:rPr>
          <w:rStyle w:val="wpcf7-form-control-wrap"/>
          <w:rFonts w:ascii="Arial" w:eastAsia="Arial" w:hAnsi="Arial" w:cs="Arial"/>
          <w:sz w:val="24"/>
          <w:szCs w:val="24"/>
          <w:lang w:val="en-US" w:eastAsia="en-US"/>
        </w:rPr>
        <w:instrText xml:space="preserve"> FORMTEXT </w:instrText>
      </w:r>
      <w:r>
        <w:rPr>
          <w:rStyle w:val="wpcf7-form-control-wrap"/>
          <w:rFonts w:ascii="Arial" w:eastAsia="Arial" w:hAnsi="Arial" w:cs="Arial"/>
          <w:sz w:val="24"/>
          <w:szCs w:val="24"/>
          <w:lang w:val="en-US" w:eastAsia="en-US"/>
        </w:rPr>
        <w:fldChar w:fldCharType="separate"/>
      </w:r>
      <w:r>
        <w:rPr>
          <w:rStyle w:val="wpcf7-form-control-wrap"/>
          <w:rFonts w:ascii="Arial" w:eastAsia="Arial" w:hAnsi="Arial" w:cs="Arial"/>
          <w:sz w:val="24"/>
          <w:szCs w:val="24"/>
          <w:lang w:val="en-US" w:eastAsia="en-US"/>
        </w:rPr>
        <w:t> </w:t>
      </w:r>
      <w:r>
        <w:rPr>
          <w:rStyle w:val="wpcf7-form-control-wrap"/>
          <w:rFonts w:ascii="Arial" w:eastAsia="Arial" w:hAnsi="Arial" w:cs="Arial"/>
          <w:sz w:val="24"/>
          <w:szCs w:val="24"/>
          <w:lang w:val="en-US" w:eastAsia="en-US"/>
        </w:rPr>
        <w:t> </w:t>
      </w:r>
      <w:r>
        <w:rPr>
          <w:rStyle w:val="wpcf7-form-control-wrap"/>
          <w:rFonts w:ascii="Arial" w:eastAsia="Arial" w:hAnsi="Arial" w:cs="Arial"/>
          <w:sz w:val="24"/>
          <w:szCs w:val="24"/>
          <w:lang w:val="en-US" w:eastAsia="en-US"/>
        </w:rPr>
        <w:t> </w:t>
      </w:r>
      <w:r>
        <w:rPr>
          <w:rStyle w:val="wpcf7-form-control-wrap"/>
          <w:rFonts w:ascii="Arial" w:eastAsia="Arial" w:hAnsi="Arial" w:cs="Arial"/>
          <w:sz w:val="24"/>
          <w:szCs w:val="24"/>
          <w:lang w:val="en-US" w:eastAsia="en-US"/>
        </w:rPr>
        <w:t> </w:t>
      </w:r>
      <w:r>
        <w:rPr>
          <w:rStyle w:val="wpcf7-form-control-wrap"/>
          <w:rFonts w:ascii="Arial" w:eastAsia="Arial" w:hAnsi="Arial" w:cs="Arial"/>
          <w:sz w:val="24"/>
          <w:szCs w:val="24"/>
          <w:lang w:val="en-US" w:eastAsia="en-US"/>
        </w:rPr>
        <w:t> </w:t>
      </w:r>
      <w:r>
        <w:rPr>
          <w:rStyle w:val="wpcf7-form-control-wrap"/>
          <w:rFonts w:ascii="Arial" w:eastAsia="Arial" w:hAnsi="Arial" w:cs="Arial"/>
          <w:sz w:val="24"/>
          <w:szCs w:val="24"/>
          <w:lang w:val="en-US" w:eastAsia="en-US"/>
        </w:rPr>
        <w:fldChar w:fldCharType="end"/>
      </w:r>
      <w:bookmarkEnd w:id="2"/>
    </w:p>
    <w:p>
      <w:pPr>
        <w:bidi w:val="0"/>
        <w:spacing w:before="240" w:after="240"/>
        <w:ind w:left="0" w:right="0"/>
        <w:rPr>
          <w:rStyle w:val="wpcf7-form-control-wrap"/>
          <w:rFonts w:ascii="Arial" w:eastAsia="Arial" w:hAnsi="Arial" w:cs="Arial"/>
          <w:sz w:val="24"/>
          <w:szCs w:val="24"/>
          <w:lang w:val="en-US" w:eastAsia="en-US"/>
        </w:rPr>
      </w:pPr>
      <w:r>
        <w:rPr>
          <w:lang w:val="en-US" w:eastAsia="en-US"/>
        </w:rPr>
        <w:t>Email</w:t>
      </w:r>
      <w:r>
        <w:rPr>
          <w:lang w:val="en-US" w:eastAsia="en-US"/>
        </w:rPr>
        <w:br/>
      </w:r>
      <w:r>
        <w:rPr>
          <w:rStyle w:val="wpcf7-form-control-wrap"/>
          <w:rFonts w:ascii="Arial" w:eastAsia="Arial" w:hAnsi="Arial" w:cs="Arial"/>
          <w:sz w:val="24"/>
          <w:szCs w:val="24"/>
          <w:lang w:val="en-US" w:eastAsia="en-US"/>
        </w:rPr>
        <w:fldChar w:fldCharType="begin">
          <w:ffData>
            <w:name w:val="email_id"/>
            <w:enabled/>
            <w:calcOnExit w:val="0"/>
            <w:textInput/>
          </w:ffData>
        </w:fldChar>
      </w:r>
      <w:bookmarkStart w:id="3" w:name="email_id"/>
      <w:r>
        <w:rPr>
          <w:rStyle w:val="wpcf7-form-control-wrap"/>
          <w:rFonts w:ascii="Arial" w:eastAsia="Arial" w:hAnsi="Arial" w:cs="Arial"/>
          <w:sz w:val="24"/>
          <w:szCs w:val="24"/>
          <w:lang w:val="en-US" w:eastAsia="en-US"/>
        </w:rPr>
        <w:instrText xml:space="preserve"> FORMTEXT </w:instrText>
      </w:r>
      <w:r>
        <w:rPr>
          <w:rStyle w:val="wpcf7-form-control-wrap"/>
          <w:rFonts w:ascii="Arial" w:eastAsia="Arial" w:hAnsi="Arial" w:cs="Arial"/>
          <w:sz w:val="24"/>
          <w:szCs w:val="24"/>
          <w:lang w:val="en-US" w:eastAsia="en-US"/>
        </w:rPr>
        <w:fldChar w:fldCharType="separate"/>
      </w:r>
      <w:r>
        <w:rPr>
          <w:rStyle w:val="wpcf7-form-control-wrap"/>
          <w:rFonts w:ascii="Arial" w:eastAsia="Arial" w:hAnsi="Arial" w:cs="Arial"/>
          <w:sz w:val="24"/>
          <w:szCs w:val="24"/>
          <w:lang w:val="en-US" w:eastAsia="en-US"/>
        </w:rPr>
        <w:t> </w:t>
      </w:r>
      <w:r>
        <w:rPr>
          <w:rStyle w:val="wpcf7-form-control-wrap"/>
          <w:rFonts w:ascii="Arial" w:eastAsia="Arial" w:hAnsi="Arial" w:cs="Arial"/>
          <w:sz w:val="24"/>
          <w:szCs w:val="24"/>
          <w:lang w:val="en-US" w:eastAsia="en-US"/>
        </w:rPr>
        <w:t> </w:t>
      </w:r>
      <w:r>
        <w:rPr>
          <w:rStyle w:val="wpcf7-form-control-wrap"/>
          <w:rFonts w:ascii="Arial" w:eastAsia="Arial" w:hAnsi="Arial" w:cs="Arial"/>
          <w:sz w:val="24"/>
          <w:szCs w:val="24"/>
          <w:lang w:val="en-US" w:eastAsia="en-US"/>
        </w:rPr>
        <w:t> </w:t>
      </w:r>
      <w:r>
        <w:rPr>
          <w:rStyle w:val="wpcf7-form-control-wrap"/>
          <w:rFonts w:ascii="Arial" w:eastAsia="Arial" w:hAnsi="Arial" w:cs="Arial"/>
          <w:sz w:val="24"/>
          <w:szCs w:val="24"/>
          <w:lang w:val="en-US" w:eastAsia="en-US"/>
        </w:rPr>
        <w:t> </w:t>
      </w:r>
      <w:r>
        <w:rPr>
          <w:rStyle w:val="wpcf7-form-control-wrap"/>
          <w:rFonts w:ascii="Arial" w:eastAsia="Arial" w:hAnsi="Arial" w:cs="Arial"/>
          <w:sz w:val="24"/>
          <w:szCs w:val="24"/>
          <w:lang w:val="en-US" w:eastAsia="en-US"/>
        </w:rPr>
        <w:t> </w:t>
      </w:r>
      <w:r>
        <w:rPr>
          <w:rStyle w:val="wpcf7-form-control-wrap"/>
          <w:rFonts w:ascii="Arial" w:eastAsia="Arial" w:hAnsi="Arial" w:cs="Arial"/>
          <w:sz w:val="24"/>
          <w:szCs w:val="24"/>
          <w:lang w:val="en-US" w:eastAsia="en-US"/>
        </w:rPr>
        <w:fldChar w:fldCharType="end"/>
      </w:r>
      <w:bookmarkEnd w:id="3"/>
    </w:p>
    <w:p>
      <w:pPr>
        <w:bidi w:val="0"/>
        <w:spacing w:before="240" w:after="240"/>
        <w:ind w:left="0" w:right="0"/>
        <w:rPr>
          <w:lang w:val="en-US" w:eastAsia="en-US"/>
        </w:rPr>
      </w:pPr>
      <w:r>
        <w:rPr>
          <w:lang w:val="en-US" w:eastAsia="en-US"/>
        </w:rPr>
        <w:t>Comments</w:t>
      </w:r>
      <w:r>
        <w:pict>
          <v:shapetype id="_x0000_t202" coordsize="21600,21600" o:spt="202" path="m,l,21600r21600,l21600,xe">
            <v:stroke joinstyle="miter"/>
            <v:path gradientshapeok="t" o:connecttype="rect"/>
          </v:shapetype>
          <v:shape id="_x0000_i1026" type="#_x0000_t202" style="width:2in;height:28pt">
            <v:textbox inset="2pt,2pt,2pt,2pt">
              <w:txbxContent>
                <w:p/>
              </w:txbxContent>
            </v:textbox>
          </v:shape>
        </w:pict>
      </w:r>
    </w:p>
    <w:p>
      <w:pPr>
        <w:bidi w:val="0"/>
        <w:spacing w:before="240" w:after="240"/>
        <w:ind w:left="0" w:right="0"/>
        <w:rPr>
          <w:rFonts w:ascii="Arial" w:eastAsia="Arial" w:hAnsi="Arial" w:cs="Arial"/>
          <w:sz w:val="24"/>
          <w:szCs w:val="24"/>
          <w:lang w:val="en-US" w:eastAsia="en-US"/>
        </w:rPr>
      </w:pPr>
      <w:r>
        <w:rPr>
          <w:rFonts w:ascii="Arial" w:eastAsia="Arial" w:hAnsi="Arial" w:cs="Arial"/>
          <w:sz w:val="24"/>
          <w:szCs w:val="24"/>
          <w:lang w:val="en-US" w:eastAsia="en-US"/>
        </w:rPr>
        <w:fldChar w:fldCharType="begin"/>
      </w:r>
      <w:r>
        <w:rPr>
          <w:rFonts w:ascii="Arial" w:eastAsia="Arial" w:hAnsi="Arial" w:cs="Arial"/>
          <w:sz w:val="24"/>
          <w:szCs w:val="24"/>
          <w:lang w:val="en-US" w:eastAsia="en-US"/>
        </w:rPr>
        <w:instrText>MACROBUTTON DoFieldClick  [Send]</w:instrText>
      </w:r>
      <w:r>
        <w:rPr>
          <w:rFonts w:ascii="Arial" w:eastAsia="Arial" w:hAnsi="Arial" w:cs="Arial"/>
          <w:sz w:val="24"/>
          <w:szCs w:val="24"/>
          <w:lang w:val="en-US" w:eastAsia="en-US"/>
        </w:rPr>
        <w:fldChar w:fldCharType="end"/>
      </w:r>
    </w:p>
    <w:p>
      <w:pPr>
        <w:bidi w:val="0"/>
        <w:spacing w:after="450"/>
        <w:ind w:left="0" w:right="0"/>
        <w:rPr>
          <w:lang w:val="en-US" w:eastAsia="en-US"/>
        </w:rPr>
      </w:pPr>
      <w:r>
        <w:rPr>
          <w:lang w:val="en-US" w:eastAsia="en-US"/>
        </w:rPr>
        <w:t>×</w:t>
      </w:r>
    </w:p>
    <w:p>
      <w:pPr>
        <w:pStyle w:val="Heading3"/>
        <w:keepNext w:val="0"/>
        <w:keepLines w:val="0"/>
        <w:spacing w:before="450"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449</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10-09-2023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multilevel"/>
    <w:tmpl w:val="00000002"/>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character" w:customStyle="1" w:styleId="fusion-imageframeimageframe-noneimageframe-6hover-type-none">
    <w:name w:val=" fusion-imageframe imageframe-none imageframe-6 hover-type-none"/>
    <w:basedOn w:val="DefaultParagraphFont"/>
  </w:style>
  <w:style w:type="character" w:customStyle="1" w:styleId="wpcf7-form-control-wrap">
    <w:name w:val="wpcf7-form-control-wrap"/>
    <w:basedOn w:val="DefaultParagraphFont"/>
  </w:style>
  <w:style w:type="character" w:customStyle="1" w:styleId="wpcf7-form-controlwpcf7-checkbox">
    <w:name w:val="wpcf7-form-control wpcf7-checkbox"/>
    <w:basedOn w:val="DefaultParagraphFont"/>
  </w:style>
  <w:style w:type="character" w:customStyle="1" w:styleId="wpcf7-list-itemfirst">
    <w:name w:val="wpcf7-list-item first"/>
    <w:basedOn w:val="DefaultParagraphFont"/>
  </w:style>
  <w:style w:type="character" w:customStyle="1" w:styleId="wpcf7-list-item-label">
    <w:name w:val="wpcf7-list-item-label"/>
    <w:basedOn w:val="DefaultParagraphFont"/>
  </w:style>
  <w:style w:type="character" w:customStyle="1" w:styleId="wpcf7-list-itemlast">
    <w:name w:val="wpcf7-list-item last"/>
    <w:basedOn w:val="DefaultParagraphFont"/>
  </w:style>
  <w:style w:type="character" w:customStyle="1" w:styleId="fusion-alert-content">
    <w:name w:val="fusion-alert-content"/>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 diff - Get Involved</dc:title>
  <cp:revision>0</cp:revision>
</cp:coreProperties>
</file>