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Pathology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16:23:30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spacing w:before="448" w:after="448"/>
        <w:ind w:left="450" w:right="45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Pathology</w:t>
      </w:r>
    </w:p>
    <w:p>
      <w:pPr>
        <w:spacing w:before="240" w:after="240"/>
        <w:ind w:left="450" w:right="450"/>
      </w:pPr>
      <w:r>
        <w:t>Our endoscopy center also has a dedicated pathology laboratory that is accredited by the College of American Pathologists (CAP). Here, our board-certified pathologists and histotechnicians process specimens from our endoscopy center. Since our pathology laboratory is “in-house,” we have efficient specimen processing to better serve our patients.</w:t>
      </w:r>
    </w:p>
    <w:p>
      <w:pPr>
        <w:spacing w:after="300"/>
        <w:ind w:left="450" w:right="450"/>
        <w:rPr>
          <w:rStyle w:val="fusion-imageframeimageframe-noneimageframe-4hover-type-none"/>
        </w:rPr>
      </w:pPr>
      <w:r>
        <w:rPr>
          <w:rStyle w:val="fusion-imageframeimageframe-noneimageframe-4hover-type-none"/>
          <w:strike w:val="0"/>
          <w:u w:val="none"/>
        </w:rPr>
        <w:drawing>
          <wp:inline>
            <wp:extent cx="13192125" cy="795337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92125" cy="795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Pathology Laboratory at Shreveport Endoscopy Center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2133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usion-imageframeimageframe-noneimageframe-4hover-type-none">
    <w:name w:val=" fusion-imageframe imageframe-none imageframe-4 hover-type-non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Pathology</dc:title>
  <cp:revision>0</cp:revision>
</cp:coreProperties>
</file>