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Sathya Jaganmohan</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22:06:37</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Sathya N. Jaganmohan, MD</w:t>
      </w:r>
    </w:p>
    <w:p>
      <w:pPr>
        <w:spacing w:before="240" w:after="240"/>
        <w:ind w:left="0" w:right="0"/>
      </w:pPr>
      <w:r>
        <w:t>Dr. Sathya Jaganmohan is a board-certified gastroenterologist who has practiced in Shreveport since 2010. He is currently a partner with GastroIntestinal Specialists and serves on the Board of Directors. His particular areas of interest include the field of advanced pancreatic-biliary diseases and gastrointestinal cancer prevention and diagnosis, early diagnosis and prevention of esophageal cancer by early identification of Barrett’s esophagus, and ablation therapy in patients with reflux disease.</w:t>
      </w:r>
    </w:p>
    <w:p>
      <w:pPr>
        <w:spacing w:before="240" w:after="240"/>
        <w:ind w:left="0" w:right="0"/>
      </w:pPr>
      <w:r>
        <w:t>Dr. Jaganmohan is also interested in incorporating advanced technologies such as endoscopic ultrasound, ERCP, and spyglass for diagnosis and management of pancreatic and biliary disease. Other procedural interests are endoscopic resection of tumors, endoscopic stent placement, use of laser for complex stone removal, endoscopic ultrasound-guided drainage of pancreatic fluid collections, and confocal endomicroscopy.</w:t>
      </w:r>
    </w:p>
    <w:p>
      <w:pPr>
        <w:spacing w:before="240" w:after="240"/>
        <w:ind w:left="0" w:right="0"/>
      </w:pPr>
      <w:r>
        <w:t>Dr. Jaganmohan’s training consists of a Gastroenterology and Hepatology Fellowship from the University of Texas Medical Branch, preceded by his internship and residency from Louisiana State University Medical Center. Before moving to Louisiana, he attended Chengalpattu Medical College near Chennai, India. Professional societies include the American College of Physicians, American Society for Gastrointestinal Endoscopy and American College of Gastroenterology. Dr. Jaganmohan received the American College of Gastroenterology Governors Award for Excellence in Clinical Research (2004), and he was honored as the American College of Physicians National Abstract Competition Winner (2004).</w:t>
      </w:r>
    </w:p>
    <w:p>
      <w:pPr>
        <w:spacing w:before="240" w:after="240"/>
        <w:ind w:left="0" w:right="0"/>
      </w:pPr>
      <w:r>
        <w:t>Dr. Jaganmohan was raised in Chennai (Madras), India, and he loves tennis, photography and running.</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Chengalpattu Medical College, Chengalpattu, India</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Fellowships</w:t>
      </w:r>
    </w:p>
    <w:p>
      <w:pPr>
        <w:spacing w:before="240" w:after="240"/>
        <w:ind w:left="0" w:right="0"/>
      </w:pPr>
      <w:r>
        <w:t>Gastroenterology: University of Texas Medical Branch, Galveston, TX; Advanced Therapeutic Endoscopy: MD Anderson Cancer Center, Houston, Texas</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Louisiana State University Medical Center –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 xml:space="preserve">Internal Medicine and Gastroenterology </w:t>
      </w:r>
      <w:r>
        <w:rPr>
          <w:strike w:val="0"/>
          <w:color w:val="0000EE"/>
          <w:u w:val="none" w:color="0000EE"/>
        </w:rPr>
        <w:drawing>
          <wp:inline>
            <wp:extent cx="2257425" cy="857250"/>
            <wp:docPr id="100001" name="" descr="View My Board Certification Status">
              <a:hlinkClick xmlns:a="http://schemas.openxmlformats.org/drawingml/2006/main" xmlns:r="http://schemas.openxmlformats.org/officeDocument/2006/relationships"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9"/>
                    <a:stretch>
                      <a:fillRect/>
                    </a:stretch>
                  </pic:blipFill>
                  <pic:spPr>
                    <a:xfrm>
                      <a:off x="0" y="0"/>
                      <a:ext cx="2257425" cy="857250"/>
                    </a:xfrm>
                    <a:prstGeom prst="rect">
                      <a:avLst/>
                    </a:prstGeom>
                  </pic:spPr>
                </pic:pic>
              </a:graphicData>
            </a:graphic>
          </wp:inline>
        </w:drawing>
      </w:r>
    </w:p>
    <w:p>
      <w:pPr>
        <w:spacing w:before="0" w:after="0"/>
        <w:ind w:left="0" w:right="0"/>
      </w:pPr>
      <w:r>
        <w:rPr>
          <w:rStyle w:val="fusion-imageframeimageframe-noneimageframe-46hover-type-nonephysician-headshot-image"/>
          <w:strike w:val="0"/>
          <w:u w:val="none"/>
        </w:rPr>
        <w:drawing>
          <wp:inline>
            <wp:extent cx="16638551" cy="2011680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10"/>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active</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9030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12</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46hover-type-nonephysician-headshot-image">
    <w:name w:val=" fusion-imageframe imageframe-none imageframe-46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2.jpeg" /><Relationship Id="rId11" Type="http://schemas.openxmlformats.org/officeDocument/2006/relationships/theme" Target="theme/theme1.xml" /><Relationship Id="rId12"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hyperlink" Target="https://www.abim.org/verify-physician.aspx?type=id&amp;id=273179" TargetMode="External" /><Relationship Id="rId9" Type="http://schemas.openxmlformats.org/officeDocument/2006/relationships/image" Target="media/image1.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Sathya Jaganmohan</dc:title>
  <cp:revision>0</cp:revision>
</cp:coreProperties>
</file>