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Clara Jones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2021-01-12 14:37:18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line="540" w:lineRule="atLeast"/>
        <w:ind w:left="0" w:right="0"/>
        <w:rPr>
          <w:b/>
          <w:bCs/>
          <w:sz w:val="54"/>
          <w:szCs w:val="54"/>
        </w:rPr>
      </w:pPr>
      <w:r>
        <w:rPr>
          <w:rFonts w:ascii="Times New Roman" w:eastAsia="Times New Roman" w:hAnsi="Times New Roman" w:cs="Times New Roman"/>
          <w:i w:val="0"/>
          <w:color w:val="auto"/>
          <w:sz w:val="54"/>
          <w:szCs w:val="54"/>
        </w:rPr>
        <w:t>Clara Jones</w:t>
      </w:r>
    </w:p>
    <w:p>
      <w:pPr>
        <w:spacing w:before="240" w:after="240"/>
        <w:ind w:left="0" w:right="0"/>
      </w:pPr>
      <w:r>
        <w:t>Clara is a former military medic with over 15 years of medical experience including time working on an ambulance service in East Texas. She was introduced to the Clinical Research industry in 2017 and quickly discovered it was a niche that she enjoyed.  Since then, she has been working in multiple areas including cardiology, pulmonology, endocrinology, and device research.  She joined the LRC team in Aug 2020 and serves as a CRC for multiple GI studies.</w:t>
      </w:r>
    </w:p>
    <w:p>
      <w:pPr>
        <w:spacing w:before="0" w:after="0"/>
        <w:ind w:left="0" w:right="0"/>
      </w:pPr>
      <w:r>
        <w:rPr>
          <w:rStyle w:val="fusion-imageframeimageframe-noneimageframe-7hover-type-nonephysician-headshot-image"/>
          <w:strike w:val="0"/>
          <w:u w:val="none"/>
        </w:rPr>
        <w:drawing>
          <wp:inline>
            <wp:extent cx="9525000" cy="115157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51572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821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7hover-type-nonephysician-headshot-image">
    <w:name w:val=" fusion-imageframe imageframe-none imageframe-7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Clara Jones</dc:title>
  <cp:revision>0</cp:revision>
</cp:coreProperties>
</file>