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Cloud for .NET 23.9.0 -->
  <w:body>
    <w:p>
      <w:pPr>
        <w:pStyle w:val="Heading1"/>
        <w:keepNext w:val="0"/>
        <w:keepLines w:val="0"/>
        <w:spacing w:before="0" w:after="299"/>
        <w:rPr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color w:val="auto"/>
          <w:sz w:val="36"/>
          <w:szCs w:val="36"/>
        </w:rPr>
        <w:t>Our Research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074"/>
        <w:gridCol w:w="6241"/>
      </w:tblGrid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Author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305admin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Date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2019-03-28 16:27:57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Categories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</w:tbl>
    <w:p>
      <w:pPr>
        <w:spacing w:before="600" w:after="300"/>
        <w:ind w:left="450" w:right="450"/>
      </w:pPr>
      <w:hyperlink r:id="rId4" w:history="1">
        <w:r>
          <w:rPr>
            <w:rStyle w:val="font-raleway-extra-boldfont-size-18white"/>
            <w:color w:val="0000EE"/>
            <w:u w:val="single" w:color="0000EE"/>
          </w:rPr>
          <w:t>SCHEDULE YOUR APPOINTMENT1</w:t>
        </w:r>
      </w:hyperlink>
    </w:p>
    <w:p>
      <w:pPr>
        <w:spacing w:before="300" w:after="300"/>
        <w:ind w:left="450" w:right="450"/>
      </w:pPr>
      <w:hyperlink r:id="rId5" w:history="1"/>
    </w:p>
    <w:p>
      <w:pPr>
        <w:spacing w:before="240" w:after="540"/>
        <w:ind w:left="450" w:right="450"/>
      </w:pPr>
      <w:hyperlink r:id="rId6" w:history="1">
        <w:r>
          <w:rPr>
            <w:rStyle w:val="font-raleway-extra-boldfont-size-18white"/>
            <w:color w:val="0000EE"/>
            <w:u w:val="single" w:color="0000EE"/>
          </w:rPr>
          <w:t>FIND A LOCATION</w:t>
        </w:r>
      </w:hyperlink>
    </w:p>
    <w:p>
      <w:pPr>
        <w:spacing w:before="300" w:after="300"/>
        <w:ind w:left="450" w:right="450"/>
      </w:pPr>
      <w:hyperlink r:id="rId6" w:history="1"/>
    </w:p>
    <w:p>
      <w:pPr>
        <w:spacing w:before="240" w:after="540"/>
        <w:ind w:left="450" w:right="450"/>
      </w:pPr>
      <w:hyperlink r:id="rId7" w:history="1">
        <w:r>
          <w:rPr>
            <w:rStyle w:val="font-raleway-extra-boldfont-size-18white"/>
            <w:color w:val="0000EE"/>
            <w:u w:val="single" w:color="0000EE"/>
          </w:rPr>
          <w:t>FIND A DOCTOR</w:t>
        </w:r>
      </w:hyperlink>
    </w:p>
    <w:p>
      <w:pPr>
        <w:spacing w:before="300" w:after="300"/>
        <w:ind w:left="450" w:right="450"/>
      </w:pPr>
      <w:hyperlink r:id="rId7" w:history="1"/>
    </w:p>
    <w:p>
      <w:pPr>
        <w:pStyle w:val="Heading3"/>
        <w:keepNext w:val="0"/>
        <w:keepLines w:val="0"/>
        <w:pBdr>
          <w:top w:val="none" w:sz="0" w:space="0" w:color="auto"/>
          <w:left w:val="none" w:sz="0" w:space="22" w:color="auto"/>
          <w:bottom w:val="none" w:sz="0" w:space="0" w:color="auto"/>
          <w:right w:val="none" w:sz="0" w:space="22" w:color="auto"/>
        </w:pBdr>
        <w:spacing w:before="600" w:after="300" w:line="365" w:lineRule="atLeast"/>
        <w:ind w:left="450" w:right="450"/>
        <w:rPr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i w:val="0"/>
          <w:color w:val="auto"/>
        </w:rPr>
        <w:t>Current Research Studies</w:t>
      </w:r>
    </w:p>
    <w:p>
      <w:pPr>
        <w:pStyle w:val="Heading5"/>
        <w:keepNext w:val="0"/>
        <w:keepLines w:val="0"/>
        <w:pBdr>
          <w:top w:val="none" w:sz="0" w:space="0" w:color="auto"/>
          <w:left w:val="none" w:sz="0" w:space="22" w:color="auto"/>
          <w:bottom w:val="none" w:sz="0" w:space="0" w:color="auto"/>
          <w:right w:val="none" w:sz="0" w:space="22" w:color="auto"/>
        </w:pBdr>
        <w:spacing w:before="300" w:after="300" w:line="259" w:lineRule="atLeast"/>
        <w:ind w:left="450" w:right="450"/>
        <w:rPr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i w:val="0"/>
          <w:color w:val="auto"/>
        </w:rPr>
        <w:t>Crohn’s (multiple options – with placebo chance 20-50%)</w:t>
      </w:r>
    </w:p>
    <w:p>
      <w:pPr>
        <w:spacing w:before="240" w:after="240"/>
        <w:ind w:left="450" w:right="450"/>
      </w:pPr>
      <w:r>
        <w:rPr>
          <w:u w:val="single"/>
        </w:rPr>
        <w:t>Inclusion Criteria</w:t>
      </w:r>
    </w:p>
    <w:p>
      <w:pPr>
        <w:numPr>
          <w:ilvl w:val="0"/>
          <w:numId w:val="1"/>
        </w:numPr>
        <w:spacing w:before="240"/>
        <w:ind w:left="1170" w:right="450" w:hanging="210"/>
        <w:jc w:val="left"/>
      </w:pPr>
      <w:r>
        <w:t>Documented diagnosis of CD with a minimum disease duration of 3 months</w:t>
      </w:r>
    </w:p>
    <w:p>
      <w:pPr>
        <w:numPr>
          <w:ilvl w:val="0"/>
          <w:numId w:val="1"/>
        </w:numPr>
        <w:ind w:left="1170" w:right="450" w:hanging="210"/>
        <w:jc w:val="left"/>
      </w:pPr>
      <w:r>
        <w:t>Daily stool frequency</w:t>
      </w:r>
    </w:p>
    <w:p>
      <w:pPr>
        <w:numPr>
          <w:ilvl w:val="0"/>
          <w:numId w:val="1"/>
        </w:numPr>
        <w:ind w:left="1170" w:right="450" w:hanging="210"/>
        <w:jc w:val="left"/>
      </w:pPr>
      <w:r>
        <w:t>Endoscopic evidence of active disease as measured by SES-CD Total score</w:t>
      </w:r>
    </w:p>
    <w:p>
      <w:pPr>
        <w:numPr>
          <w:ilvl w:val="0"/>
          <w:numId w:val="1"/>
        </w:numPr>
        <w:spacing w:after="240"/>
        <w:ind w:left="1170" w:right="450" w:hanging="210"/>
        <w:jc w:val="left"/>
      </w:pPr>
      <w:r>
        <w:t>Wash out 6-8 weeks</w:t>
      </w:r>
    </w:p>
    <w:p>
      <w:pPr>
        <w:spacing w:before="240" w:after="240"/>
        <w:ind w:left="450" w:right="450"/>
      </w:pPr>
      <w:r>
        <w:rPr>
          <w:u w:val="single"/>
        </w:rPr>
        <w:t>Exclusion Criteria</w:t>
      </w:r>
    </w:p>
    <w:p>
      <w:pPr>
        <w:numPr>
          <w:ilvl w:val="0"/>
          <w:numId w:val="2"/>
        </w:numPr>
        <w:spacing w:before="240"/>
        <w:ind w:left="1170" w:right="450" w:hanging="210"/>
        <w:jc w:val="left"/>
      </w:pPr>
      <w:r>
        <w:t>Symptomatic strictures, OR</w:t>
      </w:r>
    </w:p>
    <w:p>
      <w:pPr>
        <w:numPr>
          <w:ilvl w:val="0"/>
          <w:numId w:val="2"/>
        </w:numPr>
        <w:ind w:left="1170" w:right="450" w:hanging="210"/>
        <w:jc w:val="left"/>
      </w:pPr>
      <w:r>
        <w:t>Severe (impassable) rectal/anal stenosis, OR</w:t>
      </w:r>
    </w:p>
    <w:p>
      <w:pPr>
        <w:numPr>
          <w:ilvl w:val="0"/>
          <w:numId w:val="2"/>
        </w:numPr>
        <w:ind w:left="1170" w:right="450" w:hanging="210"/>
        <w:jc w:val="left"/>
      </w:pPr>
      <w:r>
        <w:t>Fistulae, OR</w:t>
      </w:r>
    </w:p>
    <w:p>
      <w:pPr>
        <w:numPr>
          <w:ilvl w:val="0"/>
          <w:numId w:val="2"/>
        </w:numPr>
        <w:ind w:left="1170" w:right="450" w:hanging="210"/>
        <w:jc w:val="left"/>
      </w:pPr>
      <w:r>
        <w:t>Short bowel syndrome, OR</w:t>
      </w:r>
    </w:p>
    <w:p>
      <w:pPr>
        <w:numPr>
          <w:ilvl w:val="0"/>
          <w:numId w:val="2"/>
        </w:numPr>
        <w:ind w:left="1170" w:right="450" w:hanging="210"/>
        <w:jc w:val="left"/>
      </w:pPr>
      <w:r>
        <w:t>Have any current abscesses or infections</w:t>
      </w:r>
    </w:p>
    <w:p>
      <w:pPr>
        <w:numPr>
          <w:ilvl w:val="0"/>
          <w:numId w:val="2"/>
        </w:numPr>
        <w:spacing w:after="240"/>
        <w:ind w:left="1170" w:right="450" w:hanging="210"/>
        <w:jc w:val="left"/>
      </w:pPr>
      <w:r>
        <w:t>History of malignancy within the last 5 years, except non-melanoma skin cancer</w:t>
      </w:r>
    </w:p>
    <w:p>
      <w:pPr>
        <w:pStyle w:val="Heading5"/>
        <w:keepNext w:val="0"/>
        <w:keepLines w:val="0"/>
        <w:spacing w:before="0" w:after="150" w:line="259" w:lineRule="atLeast"/>
        <w:ind w:left="450" w:right="450"/>
        <w:rPr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i w:val="0"/>
          <w:color w:val="auto"/>
        </w:rPr>
        <w:t>Crohn’s Biomarker Study</w:t>
      </w:r>
    </w:p>
    <w:p>
      <w:pPr>
        <w:numPr>
          <w:ilvl w:val="0"/>
          <w:numId w:val="3"/>
        </w:numPr>
        <w:spacing w:before="240"/>
        <w:ind w:left="1170" w:right="450" w:hanging="210"/>
        <w:jc w:val="left"/>
      </w:pPr>
      <w:r>
        <w:t>18 and over</w:t>
      </w:r>
    </w:p>
    <w:p>
      <w:pPr>
        <w:numPr>
          <w:ilvl w:val="0"/>
          <w:numId w:val="3"/>
        </w:numPr>
        <w:ind w:left="1170" w:right="450" w:hanging="210"/>
        <w:jc w:val="left"/>
      </w:pPr>
      <w:r>
        <w:t>Diagnosis of CD</w:t>
      </w:r>
    </w:p>
    <w:p>
      <w:pPr>
        <w:numPr>
          <w:ilvl w:val="0"/>
          <w:numId w:val="3"/>
        </w:numPr>
        <w:ind w:left="1170" w:right="450" w:hanging="210"/>
        <w:jc w:val="left"/>
      </w:pPr>
      <w:r>
        <w:t>No UC or indeterminate colitis</w:t>
      </w:r>
    </w:p>
    <w:p>
      <w:pPr>
        <w:numPr>
          <w:ilvl w:val="0"/>
          <w:numId w:val="3"/>
        </w:numPr>
        <w:spacing w:after="240"/>
        <w:ind w:left="1170" w:right="450" w:hanging="210"/>
        <w:jc w:val="left"/>
      </w:pPr>
      <w:r>
        <w:t>No investigational agents within 30 days of screening that is part of a double-blinded study</w:t>
      </w:r>
    </w:p>
    <w:p>
      <w:pPr>
        <w:pStyle w:val="Heading5"/>
        <w:keepNext w:val="0"/>
        <w:keepLines w:val="0"/>
        <w:spacing w:before="0" w:after="300" w:line="259" w:lineRule="atLeast"/>
        <w:ind w:left="450" w:right="450"/>
        <w:rPr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i w:val="0"/>
          <w:color w:val="auto"/>
        </w:rPr>
        <w:t>Ulcerative Colitis (multiple options – with placebo chance 20-50%)</w:t>
      </w:r>
    </w:p>
    <w:p>
      <w:pPr>
        <w:spacing w:before="240" w:after="240"/>
        <w:ind w:left="450" w:right="450"/>
      </w:pPr>
      <w:r>
        <w:rPr>
          <w:u w:val="single"/>
        </w:rPr>
        <w:t>Inclusion Criteria:</w:t>
      </w:r>
    </w:p>
    <w:p>
      <w:pPr>
        <w:numPr>
          <w:ilvl w:val="0"/>
          <w:numId w:val="4"/>
        </w:numPr>
        <w:spacing w:before="240"/>
        <w:ind w:left="1170" w:right="450" w:hanging="210"/>
        <w:jc w:val="left"/>
      </w:pPr>
      <w:r>
        <w:t>Must have been diagnosed for at least 3 months.</w:t>
      </w:r>
    </w:p>
    <w:p>
      <w:pPr>
        <w:numPr>
          <w:ilvl w:val="0"/>
          <w:numId w:val="4"/>
        </w:numPr>
        <w:ind w:left="1170" w:right="450" w:hanging="210"/>
        <w:jc w:val="left"/>
      </w:pPr>
      <w:r>
        <w:t>Tried 5-ASA, Steroids, immunomodulators and/or biologics and either failed, lost response or been intolerant.</w:t>
      </w:r>
    </w:p>
    <w:p>
      <w:pPr>
        <w:numPr>
          <w:ilvl w:val="0"/>
          <w:numId w:val="4"/>
        </w:numPr>
        <w:ind w:left="1170" w:right="450" w:hanging="210"/>
        <w:jc w:val="left"/>
      </w:pPr>
      <w:r>
        <w:t>Must be willing to use highly effective birth control.</w:t>
      </w:r>
    </w:p>
    <w:p>
      <w:pPr>
        <w:numPr>
          <w:ilvl w:val="0"/>
          <w:numId w:val="4"/>
        </w:numPr>
        <w:ind w:left="1170" w:right="450" w:hanging="210"/>
        <w:jc w:val="left"/>
      </w:pPr>
      <w:r>
        <w:t>Disease at least 15 to 20 cm from the anal verge, no Proctitis only.</w:t>
      </w:r>
    </w:p>
    <w:p>
      <w:pPr>
        <w:numPr>
          <w:ilvl w:val="0"/>
          <w:numId w:val="4"/>
        </w:numPr>
        <w:spacing w:after="240"/>
        <w:ind w:left="1170" w:right="450" w:hanging="210"/>
        <w:jc w:val="left"/>
      </w:pPr>
      <w:r>
        <w:t>Must be symptomatic with rectal bleeding and increased diarrhea.</w:t>
      </w:r>
    </w:p>
    <w:p>
      <w:pPr>
        <w:spacing w:before="240" w:after="240"/>
        <w:ind w:left="450" w:right="450"/>
      </w:pPr>
      <w:r>
        <w:rPr>
          <w:u w:val="single"/>
        </w:rPr>
        <w:t>Exclusion Criteria</w:t>
      </w:r>
    </w:p>
    <w:p>
      <w:pPr>
        <w:numPr>
          <w:ilvl w:val="0"/>
          <w:numId w:val="5"/>
        </w:numPr>
        <w:spacing w:before="240"/>
        <w:ind w:left="1170" w:right="450" w:hanging="210"/>
        <w:jc w:val="left"/>
      </w:pPr>
      <w:r>
        <w:t>Indeterminate Colitis or Crohn’s must be definitively UC</w:t>
      </w:r>
    </w:p>
    <w:p>
      <w:pPr>
        <w:numPr>
          <w:ilvl w:val="0"/>
          <w:numId w:val="5"/>
        </w:numPr>
        <w:ind w:left="1170" w:right="450" w:hanging="210"/>
        <w:jc w:val="left"/>
      </w:pPr>
      <w:r>
        <w:t>No colon resections/surgeries for UC</w:t>
      </w:r>
    </w:p>
    <w:p>
      <w:pPr>
        <w:numPr>
          <w:ilvl w:val="0"/>
          <w:numId w:val="5"/>
        </w:numPr>
        <w:ind w:left="1170" w:right="450" w:hanging="210"/>
        <w:jc w:val="left"/>
      </w:pPr>
      <w:r>
        <w:t>No chronic NSAID use</w:t>
      </w:r>
    </w:p>
    <w:p>
      <w:pPr>
        <w:numPr>
          <w:ilvl w:val="0"/>
          <w:numId w:val="5"/>
        </w:numPr>
        <w:ind w:left="1170" w:right="450" w:hanging="210"/>
        <w:jc w:val="left"/>
      </w:pPr>
      <w:r>
        <w:t>No C. diff. currently or recent Live vaccines</w:t>
      </w:r>
    </w:p>
    <w:p>
      <w:pPr>
        <w:numPr>
          <w:ilvl w:val="0"/>
          <w:numId w:val="5"/>
        </w:numPr>
        <w:ind w:left="1170" w:right="450" w:hanging="210"/>
        <w:jc w:val="left"/>
      </w:pPr>
      <w:r>
        <w:t>No current Anemia, must be Hgb &gt;9g/dL</w:t>
      </w:r>
    </w:p>
    <w:p>
      <w:pPr>
        <w:numPr>
          <w:ilvl w:val="0"/>
          <w:numId w:val="5"/>
        </w:numPr>
        <w:spacing w:after="240"/>
        <w:ind w:left="1170" w:right="450" w:hanging="210"/>
        <w:jc w:val="left"/>
      </w:pPr>
      <w:r>
        <w:t>Wash out 6-8 weeks</w:t>
      </w:r>
    </w:p>
    <w:p>
      <w:pPr>
        <w:pStyle w:val="Heading5"/>
        <w:keepNext w:val="0"/>
        <w:keepLines w:val="0"/>
        <w:spacing w:before="0" w:after="150" w:line="259" w:lineRule="atLeast"/>
        <w:ind w:left="450" w:right="450"/>
        <w:rPr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i w:val="0"/>
          <w:color w:val="auto"/>
        </w:rPr>
        <w:t>NASH (multiple options)</w:t>
      </w:r>
    </w:p>
    <w:p>
      <w:pPr>
        <w:spacing w:before="240" w:after="240"/>
        <w:ind w:left="450" w:right="450"/>
      </w:pPr>
      <w:r>
        <w:rPr>
          <w:u w:val="single"/>
        </w:rPr>
        <w:t>Inclusion Criteria:</w:t>
      </w:r>
    </w:p>
    <w:p>
      <w:pPr>
        <w:numPr>
          <w:ilvl w:val="0"/>
          <w:numId w:val="6"/>
        </w:numPr>
        <w:spacing w:before="240"/>
        <w:ind w:left="1170" w:right="450" w:hanging="210"/>
        <w:jc w:val="left"/>
      </w:pPr>
      <w:r>
        <w:t>18-75 years of age</w:t>
      </w:r>
    </w:p>
    <w:p>
      <w:pPr>
        <w:numPr>
          <w:ilvl w:val="0"/>
          <w:numId w:val="6"/>
        </w:numPr>
        <w:ind w:left="1170" w:right="450" w:hanging="210"/>
        <w:jc w:val="left"/>
      </w:pPr>
      <w:r>
        <w:t>F2-F4 fibrosis by fibroscan and NAFLD Score</w:t>
      </w:r>
    </w:p>
    <w:p>
      <w:pPr>
        <w:numPr>
          <w:ilvl w:val="0"/>
          <w:numId w:val="6"/>
        </w:numPr>
        <w:spacing w:after="240"/>
        <w:ind w:left="1170" w:right="450" w:hanging="210"/>
        <w:jc w:val="left"/>
      </w:pPr>
      <w:r>
        <w:t>No change in medication for diabetes, hypertension or hyperlipidemia; or change in Vitamin E for 6 months prior to diagnostic liver biopsy/screening.</w:t>
      </w:r>
    </w:p>
    <w:p>
      <w:pPr>
        <w:spacing w:before="240" w:after="240"/>
        <w:ind w:left="450" w:right="450"/>
      </w:pPr>
      <w:r>
        <w:rPr>
          <w:u w:val="single"/>
        </w:rPr>
        <w:t>Exclusion Criteria</w:t>
      </w:r>
    </w:p>
    <w:p>
      <w:pPr>
        <w:numPr>
          <w:ilvl w:val="0"/>
          <w:numId w:val="7"/>
        </w:numPr>
        <w:spacing w:before="240"/>
        <w:ind w:left="1170" w:right="450" w:hanging="210"/>
        <w:jc w:val="left"/>
      </w:pPr>
      <w:r>
        <w:t>History of decompensation</w:t>
      </w:r>
    </w:p>
    <w:p>
      <w:pPr>
        <w:numPr>
          <w:ilvl w:val="0"/>
          <w:numId w:val="7"/>
        </w:numPr>
        <w:ind w:left="1170" w:right="450" w:hanging="210"/>
        <w:jc w:val="left"/>
      </w:pPr>
      <w:r>
        <w:t>AST/ALT ≥ 5 x Upper Limit of Normal</w:t>
      </w:r>
    </w:p>
    <w:p>
      <w:pPr>
        <w:numPr>
          <w:ilvl w:val="0"/>
          <w:numId w:val="7"/>
        </w:numPr>
        <w:ind w:left="1170" w:right="450" w:hanging="210"/>
        <w:jc w:val="left"/>
      </w:pPr>
      <w:r>
        <w:t>Platelets ≤100,000/ mm3</w:t>
      </w:r>
    </w:p>
    <w:p>
      <w:pPr>
        <w:numPr>
          <w:ilvl w:val="0"/>
          <w:numId w:val="7"/>
        </w:numPr>
        <w:ind w:left="1170" w:right="450" w:hanging="210"/>
        <w:jc w:val="left"/>
      </w:pPr>
      <w:r>
        <w:t>Prior or planned bariatric surgery</w:t>
      </w:r>
    </w:p>
    <w:p>
      <w:pPr>
        <w:numPr>
          <w:ilvl w:val="0"/>
          <w:numId w:val="7"/>
        </w:numPr>
        <w:spacing w:after="240"/>
        <w:ind w:left="1170" w:right="450" w:hanging="210"/>
        <w:jc w:val="left"/>
      </w:pPr>
      <w:r>
        <w:t>History of cancer, cardiovascular or cerebrovascular event within last 5 years</w:t>
      </w:r>
    </w:p>
    <w:p>
      <w:pPr>
        <w:pStyle w:val="Heading5"/>
        <w:keepNext w:val="0"/>
        <w:keepLines w:val="0"/>
        <w:spacing w:before="0" w:after="150" w:line="259" w:lineRule="atLeast"/>
        <w:ind w:left="450" w:right="450"/>
        <w:rPr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i w:val="0"/>
          <w:color w:val="auto"/>
        </w:rPr>
        <w:t>Recurrent C. diff. (RBX2660: microbiota suspension (enema)</w:t>
      </w:r>
    </w:p>
    <w:p>
      <w:pPr>
        <w:spacing w:before="240" w:after="240"/>
        <w:ind w:left="450" w:right="450"/>
      </w:pPr>
      <w:r>
        <w:rPr>
          <w:u w:val="single"/>
        </w:rPr>
        <w:t>Inclusion Criteria:</w:t>
      </w:r>
    </w:p>
    <w:p>
      <w:pPr>
        <w:numPr>
          <w:ilvl w:val="0"/>
          <w:numId w:val="8"/>
        </w:numPr>
        <w:spacing w:before="240"/>
        <w:ind w:left="1170" w:right="450" w:hanging="210"/>
        <w:jc w:val="left"/>
      </w:pPr>
      <w:r>
        <w:t>Recurrent C-Diff – 1 -2 recurrence; can be on antibiotics at time of referral</w:t>
      </w:r>
    </w:p>
    <w:p>
      <w:pPr>
        <w:numPr>
          <w:ilvl w:val="0"/>
          <w:numId w:val="8"/>
        </w:numPr>
        <w:ind w:left="1170" w:right="450" w:hanging="210"/>
        <w:jc w:val="left"/>
      </w:pPr>
      <w:r>
        <w:t>Positive stool test for diff within 30 days prior to enrollment</w:t>
      </w:r>
    </w:p>
    <w:p>
      <w:pPr>
        <w:numPr>
          <w:ilvl w:val="0"/>
          <w:numId w:val="8"/>
        </w:numPr>
        <w:ind w:left="1170" w:right="450" w:hanging="210"/>
        <w:jc w:val="left"/>
      </w:pPr>
      <w:r>
        <w:t>Currently taking or was just prescribed antibiotics to control CDI-related diarrhea at the time of enrollment (CDI diarrhea must be controlled &lt;3 unformed/loose stools/day).</w:t>
      </w:r>
    </w:p>
    <w:p>
      <w:pPr>
        <w:numPr>
          <w:ilvl w:val="0"/>
          <w:numId w:val="8"/>
        </w:numPr>
        <w:spacing w:after="240"/>
        <w:ind w:left="1170" w:right="450" w:hanging="210"/>
        <w:jc w:val="left"/>
      </w:pPr>
      <w:r>
        <w:t>Willing and able to have enemas</w:t>
      </w:r>
    </w:p>
    <w:p>
      <w:pPr>
        <w:spacing w:before="240" w:after="240"/>
        <w:ind w:left="450" w:right="450"/>
      </w:pPr>
      <w:r>
        <w:rPr>
          <w:u w:val="single"/>
        </w:rPr>
        <w:t>Exclusion Criteria</w:t>
      </w:r>
    </w:p>
    <w:p>
      <w:pPr>
        <w:numPr>
          <w:ilvl w:val="0"/>
          <w:numId w:val="9"/>
        </w:numPr>
        <w:spacing w:before="240"/>
        <w:ind w:left="1170" w:right="450" w:hanging="210"/>
        <w:jc w:val="left"/>
      </w:pPr>
      <w:r>
        <w:t>Currently has continued CDI diarrhea despite being on a course of CDI antibiotic treatment.</w:t>
      </w:r>
    </w:p>
    <w:p>
      <w:pPr>
        <w:numPr>
          <w:ilvl w:val="0"/>
          <w:numId w:val="9"/>
        </w:numPr>
        <w:ind w:left="1170" w:right="450" w:hanging="210"/>
        <w:jc w:val="left"/>
      </w:pPr>
      <w:r>
        <w:t>History of IBD, IBS, ostomy, chronic diarrhea, celiac disease or any disease requiring antibiotic therapy.</w:t>
      </w:r>
    </w:p>
    <w:p>
      <w:pPr>
        <w:numPr>
          <w:ilvl w:val="0"/>
          <w:numId w:val="9"/>
        </w:numPr>
        <w:ind w:left="1170" w:right="450" w:hanging="210"/>
        <w:jc w:val="left"/>
      </w:pPr>
      <w:r>
        <w:t>Previous fecal transplant, RBX2660 treatment, receipt of CDI vaccine</w:t>
      </w:r>
    </w:p>
    <w:p>
      <w:pPr>
        <w:numPr>
          <w:ilvl w:val="0"/>
          <w:numId w:val="9"/>
        </w:numPr>
        <w:spacing w:after="240"/>
        <w:ind w:left="1170" w:right="450" w:hanging="210"/>
        <w:jc w:val="left"/>
      </w:pPr>
      <w:r>
        <w:t>ANC &lt;1000 cells/µL</w:t>
      </w:r>
    </w:p>
    <w:p>
      <w:pPr>
        <w:pStyle w:val="Heading5"/>
        <w:keepNext w:val="0"/>
        <w:keepLines w:val="0"/>
        <w:spacing w:before="0" w:after="150" w:line="259" w:lineRule="atLeast"/>
        <w:ind w:left="450" w:right="450"/>
        <w:rPr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i w:val="0"/>
          <w:color w:val="auto"/>
        </w:rPr>
        <w:t>CRC Screening Study</w:t>
      </w:r>
    </w:p>
    <w:p>
      <w:pPr>
        <w:spacing w:before="240" w:after="240"/>
        <w:ind w:left="450" w:right="450"/>
      </w:pPr>
      <w:r>
        <w:rPr>
          <w:u w:val="single"/>
        </w:rPr>
        <w:t>Cohort B:</w:t>
      </w:r>
    </w:p>
    <w:p>
      <w:pPr>
        <w:numPr>
          <w:ilvl w:val="0"/>
          <w:numId w:val="10"/>
        </w:numPr>
        <w:spacing w:before="240"/>
        <w:ind w:left="1170" w:right="450" w:hanging="210"/>
        <w:jc w:val="left"/>
      </w:pPr>
      <w:r>
        <w:t>Patients 50-84 who have had not had a colonoscopy in the past 9 years</w:t>
      </w:r>
    </w:p>
    <w:p>
      <w:pPr>
        <w:numPr>
          <w:ilvl w:val="0"/>
          <w:numId w:val="10"/>
        </w:numPr>
        <w:ind w:left="1170" w:right="450" w:hanging="210"/>
        <w:jc w:val="left"/>
      </w:pPr>
      <w:r>
        <w:t>Cannot have a hx of copo (unless hyperplastic only) or coca</w:t>
      </w:r>
    </w:p>
    <w:p>
      <w:pPr>
        <w:numPr>
          <w:ilvl w:val="0"/>
          <w:numId w:val="10"/>
        </w:numPr>
        <w:ind w:left="1170" w:right="450" w:hanging="210"/>
        <w:jc w:val="left"/>
      </w:pPr>
      <w:r>
        <w:t>Cannot have IBD or previous hx of bowel resection</w:t>
      </w:r>
    </w:p>
    <w:p>
      <w:pPr>
        <w:numPr>
          <w:ilvl w:val="0"/>
          <w:numId w:val="10"/>
        </w:numPr>
        <w:spacing w:after="240"/>
        <w:ind w:left="1170" w:right="450" w:hanging="210"/>
        <w:jc w:val="left"/>
      </w:pPr>
      <w:r>
        <w:t>Cannot have 2+ immediate family members diagnosed with CRC</w:t>
      </w:r>
    </w:p>
    <w:p>
      <w:pPr>
        <w:spacing w:before="240" w:after="240"/>
        <w:ind w:left="450" w:right="450"/>
      </w:pPr>
      <w:r>
        <w:rPr>
          <w:u w:val="single"/>
        </w:rPr>
        <w:t>Cohort A &amp; C:</w:t>
      </w:r>
    </w:p>
    <w:p>
      <w:pPr>
        <w:numPr>
          <w:ilvl w:val="0"/>
          <w:numId w:val="11"/>
        </w:numPr>
        <w:spacing w:before="240"/>
        <w:ind w:left="1170" w:right="450" w:hanging="210"/>
        <w:jc w:val="left"/>
      </w:pPr>
      <w:r>
        <w:t>Looking for patients newly diagnosed with Colorectal cancer via colonoscopy report and pathology report.</w:t>
      </w:r>
    </w:p>
    <w:p>
      <w:pPr>
        <w:numPr>
          <w:ilvl w:val="0"/>
          <w:numId w:val="11"/>
        </w:numPr>
        <w:spacing w:after="240"/>
        <w:ind w:left="1170" w:right="450" w:hanging="210"/>
        <w:jc w:val="left"/>
      </w:pPr>
      <w:r>
        <w:t>Need to be enrolled before surgery.</w:t>
      </w:r>
    </w:p>
    <w:p>
      <w:pPr>
        <w:pStyle w:val="Heading5"/>
        <w:keepNext w:val="0"/>
        <w:keepLines w:val="0"/>
        <w:spacing w:before="0" w:after="150" w:line="259" w:lineRule="atLeast"/>
        <w:ind w:left="450" w:right="450"/>
        <w:rPr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i w:val="0"/>
          <w:color w:val="auto"/>
        </w:rPr>
        <w:t>CRC Screening</w:t>
      </w:r>
    </w:p>
    <w:p>
      <w:pPr>
        <w:numPr>
          <w:ilvl w:val="0"/>
          <w:numId w:val="12"/>
        </w:numPr>
        <w:spacing w:before="240"/>
        <w:ind w:left="1170" w:right="450" w:hanging="210"/>
        <w:jc w:val="left"/>
      </w:pPr>
      <w:r>
        <w:t>40 years or older</w:t>
      </w:r>
    </w:p>
    <w:p>
      <w:pPr>
        <w:numPr>
          <w:ilvl w:val="0"/>
          <w:numId w:val="12"/>
        </w:numPr>
        <w:ind w:left="1170" w:right="450" w:hanging="210"/>
        <w:jc w:val="left"/>
      </w:pPr>
      <w:r>
        <w:t>DX of CRC at any stage confirmed by tissue biopsy or colorectal lesion at least 1 cm in size</w:t>
      </w:r>
    </w:p>
    <w:p>
      <w:pPr>
        <w:numPr>
          <w:ilvl w:val="0"/>
          <w:numId w:val="12"/>
        </w:numPr>
        <w:spacing w:after="240"/>
        <w:ind w:left="1170" w:right="450" w:hanging="210"/>
        <w:jc w:val="left"/>
      </w:pPr>
      <w:r>
        <w:t>No previous cancer diagnosis</w:t>
      </w:r>
    </w:p>
    <w:p>
      <w:pPr>
        <w:pStyle w:val="Heading5"/>
        <w:keepNext w:val="0"/>
        <w:keepLines w:val="0"/>
        <w:spacing w:before="0" w:after="150" w:line="259" w:lineRule="atLeast"/>
        <w:ind w:left="450" w:right="450"/>
        <w:rPr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i w:val="0"/>
          <w:color w:val="auto"/>
        </w:rPr>
        <w:t>PBC</w:t>
      </w:r>
    </w:p>
    <w:p>
      <w:pPr>
        <w:numPr>
          <w:ilvl w:val="0"/>
          <w:numId w:val="13"/>
        </w:numPr>
        <w:spacing w:before="240"/>
        <w:ind w:left="1170" w:right="450" w:hanging="210"/>
        <w:jc w:val="left"/>
      </w:pPr>
      <w:r>
        <w:t>18-75 years old</w:t>
      </w:r>
    </w:p>
    <w:p>
      <w:pPr>
        <w:numPr>
          <w:ilvl w:val="0"/>
          <w:numId w:val="13"/>
        </w:numPr>
        <w:ind w:left="1170" w:right="450" w:hanging="210"/>
        <w:jc w:val="left"/>
      </w:pPr>
      <w:r>
        <w:t>Document Liver biopsy (no cirrhosis)</w:t>
      </w:r>
    </w:p>
    <w:p>
      <w:pPr>
        <w:numPr>
          <w:ilvl w:val="0"/>
          <w:numId w:val="13"/>
        </w:numPr>
        <w:ind w:left="1170" w:right="450" w:hanging="210"/>
        <w:jc w:val="left"/>
      </w:pPr>
      <w:r>
        <w:t>History of ALP above ULN for at least 6 months</w:t>
      </w:r>
    </w:p>
    <w:p>
      <w:pPr>
        <w:numPr>
          <w:ilvl w:val="0"/>
          <w:numId w:val="13"/>
        </w:numPr>
        <w:spacing w:after="240"/>
        <w:ind w:left="1170" w:right="450" w:hanging="210"/>
        <w:jc w:val="left"/>
      </w:pPr>
      <w:r>
        <w:t>No prior TX with OCA</w:t>
      </w:r>
    </w:p>
    <w:p>
      <w:pPr>
        <w:spacing w:before="240" w:after="300"/>
        <w:ind w:left="450" w:right="450"/>
      </w:pPr>
      <w:r>
        <w:rPr>
          <w:b/>
          <w:bCs/>
        </w:rPr>
        <w:t>Please call (318) 525-3233 for more information. Updated 3/6/19</w:t>
      </w:r>
    </w:p>
    <w:p>
      <w:pPr>
        <w:pStyle w:val="Heading3"/>
        <w:keepNext w:val="0"/>
        <w:keepLines w:val="0"/>
        <w:spacing w:before="300" w:after="281"/>
        <w:rPr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i w:val="0"/>
          <w:color w:val="auto"/>
        </w:rPr>
        <w:t>Metadata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656"/>
        <w:gridCol w:w="4659"/>
      </w:tblGrid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pyre_slider_type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1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pyre_wooslider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pyre_revslider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0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pyre_elasticslider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0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pyre_slider_position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pyre_avada_rev_styles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pyre_fallback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pyre_fallback_id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pyre_demo_slider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pyre_main_top_padding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pyre_main_bottom_padding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pyre_hundredp_padding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pyre_show_first_featured_image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pyre_display_header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yes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pyre_combined_header_bg_color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pyre_mobile_header_bg_color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repeat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pyre_displayed_menu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pyre_display_footer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pyre_display_copyright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pyre_footer_100_width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pyre_sidebar_position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pyre_responsive_sidebar_order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pyre_sidebar_sticky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pyre_page_bg_layout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pyre_page_title_breadcrumbs_search_bar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pyre_page_title_text_alignment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pyre_page_title_custom_text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pyre_page_title_text_size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pyre_page_title_line_height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pyre_page_title_font_color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pyre_page_title_custom_subheader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pyre_page_title_custom_subheader_text_size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pyre_page_title_subheader_font_color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pyre_page_title_mobile_height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pyre_page_title_bar_borders_color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pyre_page_title_bar_bg_retina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pyre_page_title_bar_bg_retina_id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pyre_page_title_bg_parallax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fusion_builder_status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active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kd_featured-image-2_page_id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kd_featured-image-3_page_id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kd_featured-image-4_page_id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kd_featured-image-5_page_id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sbg_selected_sidebar_replacement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sbg_selected_sidebar_2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sbg_selected_sidebar_2_replacement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avada_post_views_count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1548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avada_today_post_views_count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2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avada_post_views_count_today_date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13-09-2023</w:t>
            </w:r>
          </w:p>
        </w:tc>
      </w:tr>
    </w:tbl>
    <w:p>
      <w:pPr>
        <w:rPr>
          <w:rFonts w:ascii="Times New Roman" w:eastAsia="Times New Roman" w:hAnsi="Times New Roman" w:cs="Times New Roman"/>
          <w:i w:val="0"/>
          <w:color w:val="auto"/>
        </w:rPr>
      </w:pPr>
    </w:p>
    <w:sectPr>
      <w:pgMar w:header="720" w:footer="72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0000001"/>
    <w:multiLevelType w:val="hybridMultilevel"/>
    <w:tmpl w:val="0000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2"/>
    <w:multiLevelType w:val="hybridMultilevel"/>
    <w:tmpl w:val="000000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>
    <w:nsid w:val="00000003"/>
    <w:multiLevelType w:val="hybridMultilevel"/>
    <w:tmpl w:val="0000000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>
    <w:nsid w:val="00000004"/>
    <w:multiLevelType w:val="hybridMultilevel"/>
    <w:tmpl w:val="000000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>
    <w:nsid w:val="00000005"/>
    <w:multiLevelType w:val="hybridMultilevel"/>
    <w:tmpl w:val="000000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>
    <w:nsid w:val="00000006"/>
    <w:multiLevelType w:val="hybridMultilevel"/>
    <w:tmpl w:val="000000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>
    <w:nsid w:val="00000007"/>
    <w:multiLevelType w:val="hybridMultilevel"/>
    <w:tmpl w:val="000000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">
    <w:nsid w:val="00000008"/>
    <w:multiLevelType w:val="hybridMultilevel"/>
    <w:tmpl w:val="000000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">
    <w:nsid w:val="00000009"/>
    <w:multiLevelType w:val="hybridMultilevel"/>
    <w:tmpl w:val="000000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9">
    <w:nsid w:val="0000000A"/>
    <w:multiLevelType w:val="hybridMultilevel"/>
    <w:tmpl w:val="000000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0">
    <w:nsid w:val="0000000B"/>
    <w:multiLevelType w:val="hybridMultilevel"/>
    <w:tmpl w:val="000000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">
    <w:nsid w:val="0000000C"/>
    <w:multiLevelType w:val="hybridMultilevel"/>
    <w:tmpl w:val="000000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">
    <w:nsid w:val="0000000D"/>
    <w:multiLevelType w:val="hybridMultilevel"/>
    <w:tmpl w:val="0000000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Times New Roman" w:eastAsia="Times New Roman" w:hAnsi="Times New Roman" w:cs="Times New Roman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Times New Roman" w:eastAsia="Times New Roman" w:hAnsi="Times New Roman" w:cs="Times New Roman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Times New Roman" w:eastAsia="Times New Roman" w:hAnsi="Times New Roman" w:cs="Times New Roman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Times New Roman" w:eastAsia="Times New Roman" w:hAnsi="Times New Roman" w:cs="Times New Roman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Times New Roman" w:eastAsia="Times New Roman" w:hAnsi="Times New Roman" w:cs="Times New Roman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Times New Roman" w:eastAsia="Times New Roman" w:hAnsi="Times New Roman" w:cs="Times New Roman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character" w:customStyle="1" w:styleId="font-raleway-extra-boldfont-size-18white">
    <w:name w:val="font-raleway-extra-bold font-size-18 white"/>
    <w:basedOn w:val="DefaultParagraphFont"/>
  </w:style>
  <w:style w:type="character" w:customStyle="1" w:styleId="fusion-column-inner-bghover-type-zoomin">
    <w:name w:val="fusion-column-inner-bg hover-type-zoomin"/>
    <w:basedOn w:val="DefaultParagraphFont"/>
  </w:style>
  <w:style w:type="character" w:customStyle="1" w:styleId="fusion-column-inner-bg-image">
    <w:name w:val="fusion-column-inner-bg-image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yperlink" Target="/appointment-request/" TargetMode="External" /><Relationship Id="rId5" Type="http://schemas.openxmlformats.org/officeDocument/2006/relationships/hyperlink" Target="https://gis.md/appointment-request/" TargetMode="External" /><Relationship Id="rId6" Type="http://schemas.openxmlformats.org/officeDocument/2006/relationships/hyperlink" Target="https://gis.md/locations/" TargetMode="External" /><Relationship Id="rId7" Type="http://schemas.openxmlformats.org/officeDocument/2006/relationships/hyperlink" Target="https://gis.md/physicians/" TargetMode="Externa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Our Research</dc:title>
  <cp:revision>0</cp:revision>
</cp:coreProperties>
</file>