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The Louisiana Research Center</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2023-08-15 13:11:34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pStyle w:val="p1"/>
        <w:spacing w:before="240" w:after="240"/>
        <w:ind w:left="0" w:right="0"/>
        <w:rPr>
          <w:caps w:val="0"/>
        </w:rPr>
      </w:pPr>
      <w:r>
        <w:rPr>
          <w:b/>
          <w:bCs/>
          <w:caps w:val="0"/>
        </w:rPr>
        <w:t>The Louisiana Research Center: Dedicated to Discovery, Committed to Care</w:t>
      </w:r>
    </w:p>
    <w:p>
      <w:pPr>
        <w:pStyle w:val="p1"/>
        <w:spacing w:before="240" w:after="240"/>
        <w:ind w:left="0" w:right="0"/>
        <w:rPr>
          <w:caps w:val="0"/>
        </w:rPr>
      </w:pPr>
      <w:r>
        <w:rPr>
          <w:caps w:val="0"/>
        </w:rPr>
        <w:t>Did you know that GastroIntestinal Specialists has its own clinical research center? The Louisiana Research Center, LLC, is owned and operated by gastroenterologists who are partners of the GastroIntestinal Specialists, A.M.C. group practice. We currently operate two locations with five full-time coordinators on staff.</w:t>
      </w:r>
    </w:p>
    <w:p>
      <w:pPr>
        <w:pStyle w:val="p1"/>
        <w:spacing w:before="240" w:after="240"/>
        <w:ind w:left="0" w:right="0"/>
        <w:rPr>
          <w:caps w:val="0"/>
        </w:rPr>
      </w:pPr>
      <w:r>
        <w:rPr>
          <w:caps w:val="0"/>
        </w:rPr>
        <w:t>GastroIntestinal Specialists has a long history of participating in investigational studies. Since 1992, our practice has successfully completed numerous studies thanks to our ability to recruit patients and complete studies in a timely and professional manner. This has resulted in a high level of satisfaction for sponsoring pharmaceutical companies and clinical research organizations.</w:t>
      </w:r>
    </w:p>
    <w:p>
      <w:pPr>
        <w:pStyle w:val="p1"/>
        <w:spacing w:before="240" w:after="240"/>
        <w:ind w:left="0" w:right="0"/>
        <w:rPr>
          <w:caps w:val="0"/>
        </w:rPr>
      </w:pPr>
      <w:r>
        <w:rPr>
          <w:caps w:val="0"/>
        </w:rPr>
        <w:t>Studies we have undertaken include the following conditions:</w:t>
      </w:r>
    </w:p>
    <w:p>
      <w:pPr>
        <w:numPr>
          <w:ilvl w:val="0"/>
          <w:numId w:val="1"/>
        </w:numPr>
        <w:spacing w:before="240"/>
        <w:ind w:left="720" w:right="0" w:hanging="210"/>
        <w:jc w:val="left"/>
        <w:rPr>
          <w:caps w:val="0"/>
        </w:rPr>
      </w:pPr>
      <w:r>
        <w:rPr>
          <w:rStyle w:val="s1"/>
          <w:caps w:val="0"/>
        </w:rPr>
        <w:t>Anal-rectal disease</w:t>
      </w:r>
    </w:p>
    <w:p>
      <w:pPr>
        <w:numPr>
          <w:ilvl w:val="0"/>
          <w:numId w:val="1"/>
        </w:numPr>
        <w:ind w:left="720" w:right="0" w:hanging="210"/>
        <w:jc w:val="left"/>
        <w:rPr>
          <w:caps w:val="0"/>
        </w:rPr>
      </w:pPr>
      <w:r>
        <w:rPr>
          <w:rStyle w:val="s1"/>
          <w:caps w:val="0"/>
        </w:rPr>
        <w:t>Chronic constipation</w:t>
      </w:r>
    </w:p>
    <w:p>
      <w:pPr>
        <w:numPr>
          <w:ilvl w:val="0"/>
          <w:numId w:val="1"/>
        </w:numPr>
        <w:ind w:left="720" w:right="0" w:hanging="210"/>
        <w:jc w:val="left"/>
        <w:rPr>
          <w:caps w:val="0"/>
        </w:rPr>
      </w:pPr>
      <w:r>
        <w:rPr>
          <w:rStyle w:val="s1"/>
          <w:caps w:val="0"/>
        </w:rPr>
        <w:t>Diarrhea</w:t>
      </w:r>
    </w:p>
    <w:p>
      <w:pPr>
        <w:numPr>
          <w:ilvl w:val="0"/>
          <w:numId w:val="1"/>
        </w:numPr>
        <w:ind w:left="720" w:right="0" w:hanging="210"/>
        <w:jc w:val="left"/>
        <w:rPr>
          <w:caps w:val="0"/>
        </w:rPr>
      </w:pPr>
      <w:r>
        <w:rPr>
          <w:rStyle w:val="s1"/>
          <w:caps w:val="0"/>
        </w:rPr>
        <w:t>Hepatitis C</w:t>
      </w:r>
    </w:p>
    <w:p>
      <w:pPr>
        <w:numPr>
          <w:ilvl w:val="0"/>
          <w:numId w:val="1"/>
        </w:numPr>
        <w:ind w:left="720" w:right="0" w:hanging="210"/>
        <w:jc w:val="left"/>
        <w:rPr>
          <w:caps w:val="0"/>
        </w:rPr>
      </w:pPr>
      <w:r>
        <w:rPr>
          <w:rStyle w:val="s1"/>
          <w:caps w:val="0"/>
        </w:rPr>
        <w:t>Inflammatory bowel disease</w:t>
      </w:r>
    </w:p>
    <w:p>
      <w:pPr>
        <w:numPr>
          <w:ilvl w:val="0"/>
          <w:numId w:val="1"/>
        </w:numPr>
        <w:ind w:left="720" w:right="0" w:hanging="210"/>
        <w:jc w:val="left"/>
        <w:rPr>
          <w:caps w:val="0"/>
        </w:rPr>
      </w:pPr>
      <w:r>
        <w:rPr>
          <w:rStyle w:val="s1"/>
          <w:caps w:val="0"/>
        </w:rPr>
        <w:t>Irritable bowel syndrome (IBS)</w:t>
      </w:r>
    </w:p>
    <w:p>
      <w:pPr>
        <w:numPr>
          <w:ilvl w:val="0"/>
          <w:numId w:val="1"/>
        </w:numPr>
        <w:ind w:left="720" w:right="0" w:hanging="210"/>
        <w:jc w:val="left"/>
        <w:rPr>
          <w:caps w:val="0"/>
        </w:rPr>
      </w:pPr>
      <w:r>
        <w:rPr>
          <w:rStyle w:val="s1"/>
          <w:caps w:val="0"/>
        </w:rPr>
        <w:t>Erosive esophagitis</w:t>
      </w:r>
    </w:p>
    <w:p>
      <w:pPr>
        <w:numPr>
          <w:ilvl w:val="0"/>
          <w:numId w:val="1"/>
        </w:numPr>
        <w:ind w:left="720" w:right="0" w:hanging="210"/>
        <w:jc w:val="left"/>
        <w:rPr>
          <w:caps w:val="0"/>
        </w:rPr>
      </w:pPr>
      <w:r>
        <w:rPr>
          <w:rStyle w:val="s1"/>
          <w:caps w:val="0"/>
        </w:rPr>
        <w:t>Gastroesophageal reflux disease</w:t>
      </w:r>
    </w:p>
    <w:p>
      <w:pPr>
        <w:numPr>
          <w:ilvl w:val="0"/>
          <w:numId w:val="1"/>
        </w:numPr>
        <w:ind w:left="720" w:right="0" w:hanging="210"/>
        <w:jc w:val="left"/>
        <w:rPr>
          <w:caps w:val="0"/>
        </w:rPr>
      </w:pPr>
      <w:r>
        <w:rPr>
          <w:rStyle w:val="s1"/>
          <w:caps w:val="0"/>
        </w:rPr>
        <w:t>Nonalcoholic steatohepatitis (NASH)</w:t>
      </w:r>
    </w:p>
    <w:p>
      <w:pPr>
        <w:numPr>
          <w:ilvl w:val="0"/>
          <w:numId w:val="1"/>
        </w:numPr>
        <w:ind w:left="720" w:right="0" w:hanging="210"/>
        <w:jc w:val="left"/>
        <w:rPr>
          <w:caps w:val="0"/>
        </w:rPr>
      </w:pPr>
      <w:r>
        <w:rPr>
          <w:rStyle w:val="s1"/>
          <w:caps w:val="0"/>
        </w:rPr>
        <w:t>Non-erosive esophagitis</w:t>
      </w:r>
    </w:p>
    <w:p>
      <w:pPr>
        <w:numPr>
          <w:ilvl w:val="0"/>
          <w:numId w:val="1"/>
        </w:numPr>
        <w:spacing w:after="240"/>
        <w:ind w:left="720" w:right="0" w:hanging="210"/>
        <w:jc w:val="left"/>
        <w:rPr>
          <w:caps w:val="0"/>
        </w:rPr>
      </w:pPr>
      <w:r>
        <w:rPr>
          <w:rStyle w:val="s1"/>
          <w:caps w:val="0"/>
        </w:rPr>
        <w:t>Peptic ulcer disease (with Helicobacter pylori)</w:t>
      </w:r>
    </w:p>
    <w:p>
      <w:pPr>
        <w:pStyle w:val="p1"/>
        <w:spacing w:before="240" w:after="240"/>
        <w:ind w:left="0" w:right="0"/>
        <w:rPr>
          <w:caps w:val="0"/>
        </w:rPr>
      </w:pPr>
      <w:r>
        <w:rPr>
          <w:caps w:val="0"/>
        </w:rPr>
        <w:t>We have also completed additional studies in healthy volunteers to study the potential gastrointestinal side effects of medications.</w:t>
      </w:r>
    </w:p>
    <w:p>
      <w:pPr>
        <w:pStyle w:val="p1"/>
        <w:spacing w:before="240" w:after="240"/>
        <w:ind w:left="0" w:right="0"/>
        <w:rPr>
          <w:caps w:val="0"/>
        </w:rPr>
      </w:pPr>
      <w:r>
        <w:rPr>
          <w:caps w:val="0"/>
        </w:rPr>
        <w:t xml:space="preserve">Click </w:t>
      </w:r>
      <w:hyperlink r:id="rId5" w:history="1">
        <w:r>
          <w:rPr>
            <w:rStyle w:val="s2"/>
            <w:b/>
            <w:bCs/>
            <w:caps w:val="0"/>
            <w:color w:val="0000EE"/>
            <w:u w:val="single" w:color="0000EE"/>
          </w:rPr>
          <w:t>here</w:t>
        </w:r>
      </w:hyperlink>
      <w:r>
        <w:rPr>
          <w:caps w:val="0"/>
        </w:rPr>
        <w:t xml:space="preserve"> to learn more about our clinical research team.</w:t>
      </w:r>
    </w:p>
    <w:p>
      <w:pPr>
        <w:pStyle w:val="p1"/>
        <w:spacing w:before="240" w:after="240"/>
        <w:ind w:left="0" w:right="0"/>
        <w:rPr>
          <w:caps w:val="0"/>
        </w:rPr>
      </w:pPr>
      <w:r>
        <w:rPr>
          <w:b/>
          <w:bCs/>
          <w:caps w:val="0"/>
        </w:rPr>
        <w:t>Current Studies</w:t>
      </w:r>
    </w:p>
    <w:p>
      <w:pPr>
        <w:pStyle w:val="p1"/>
        <w:spacing w:before="240" w:after="240"/>
        <w:ind w:left="0" w:right="0"/>
        <w:rPr>
          <w:caps w:val="0"/>
        </w:rPr>
      </w:pPr>
      <w:r>
        <w:rPr>
          <w:caps w:val="0"/>
        </w:rPr>
        <w:t>The Louisiana Research Center is constantly conducting a range of clinical research studies. At the time of writing, our current studies include:</w:t>
      </w:r>
    </w:p>
    <w:p>
      <w:pPr>
        <w:numPr>
          <w:ilvl w:val="0"/>
          <w:numId w:val="2"/>
        </w:numPr>
        <w:spacing w:before="240"/>
        <w:ind w:left="720" w:right="0" w:hanging="210"/>
        <w:jc w:val="left"/>
        <w:rPr>
          <w:caps w:val="0"/>
        </w:rPr>
      </w:pPr>
      <w:r>
        <w:rPr>
          <w:rStyle w:val="s1"/>
          <w:caps w:val="0"/>
        </w:rPr>
        <w:t>Clostridium difficile (C. diff)</w:t>
      </w:r>
    </w:p>
    <w:p>
      <w:pPr>
        <w:numPr>
          <w:ilvl w:val="0"/>
          <w:numId w:val="2"/>
        </w:numPr>
        <w:ind w:left="720" w:right="0" w:hanging="210"/>
        <w:jc w:val="left"/>
        <w:rPr>
          <w:caps w:val="0"/>
        </w:rPr>
      </w:pPr>
      <w:r>
        <w:rPr>
          <w:rStyle w:val="s1"/>
          <w:caps w:val="0"/>
        </w:rPr>
        <w:t>Colorectal cancer screening</w:t>
      </w:r>
    </w:p>
    <w:p>
      <w:pPr>
        <w:numPr>
          <w:ilvl w:val="0"/>
          <w:numId w:val="2"/>
        </w:numPr>
        <w:ind w:left="720" w:right="0" w:hanging="210"/>
        <w:jc w:val="left"/>
        <w:rPr>
          <w:caps w:val="0"/>
        </w:rPr>
      </w:pPr>
      <w:r>
        <w:rPr>
          <w:rStyle w:val="s1"/>
          <w:caps w:val="0"/>
        </w:rPr>
        <w:t>Crohn’s disease</w:t>
      </w:r>
    </w:p>
    <w:p>
      <w:pPr>
        <w:numPr>
          <w:ilvl w:val="0"/>
          <w:numId w:val="2"/>
        </w:numPr>
        <w:ind w:left="720" w:right="0" w:hanging="210"/>
        <w:jc w:val="left"/>
        <w:rPr>
          <w:caps w:val="0"/>
        </w:rPr>
      </w:pPr>
      <w:r>
        <w:rPr>
          <w:rStyle w:val="s1"/>
          <w:caps w:val="0"/>
        </w:rPr>
        <w:t>Eosinophilic esophagitis</w:t>
      </w:r>
    </w:p>
    <w:p>
      <w:pPr>
        <w:numPr>
          <w:ilvl w:val="0"/>
          <w:numId w:val="2"/>
        </w:numPr>
        <w:ind w:left="720" w:right="0" w:hanging="210"/>
        <w:jc w:val="left"/>
        <w:rPr>
          <w:caps w:val="0"/>
        </w:rPr>
      </w:pPr>
      <w:r>
        <w:rPr>
          <w:rStyle w:val="s1"/>
          <w:caps w:val="0"/>
        </w:rPr>
        <w:t>Irritable bowel syndrome (IBS)</w:t>
      </w:r>
    </w:p>
    <w:p>
      <w:pPr>
        <w:numPr>
          <w:ilvl w:val="0"/>
          <w:numId w:val="2"/>
        </w:numPr>
        <w:ind w:left="720" w:right="0" w:hanging="210"/>
        <w:jc w:val="left"/>
        <w:rPr>
          <w:caps w:val="0"/>
        </w:rPr>
      </w:pPr>
      <w:r>
        <w:rPr>
          <w:rStyle w:val="s1"/>
          <w:caps w:val="0"/>
        </w:rPr>
        <w:t>Nonalcoholic steatohepatitis (NASH)</w:t>
      </w:r>
    </w:p>
    <w:p>
      <w:pPr>
        <w:numPr>
          <w:ilvl w:val="0"/>
          <w:numId w:val="2"/>
        </w:numPr>
        <w:ind w:left="720" w:right="0" w:hanging="210"/>
        <w:jc w:val="left"/>
        <w:rPr>
          <w:caps w:val="0"/>
        </w:rPr>
      </w:pPr>
      <w:r>
        <w:rPr>
          <w:rStyle w:val="s1"/>
          <w:caps w:val="0"/>
        </w:rPr>
        <w:t xml:space="preserve">Primary sclerosing cholangitis (PSC) </w:t>
      </w:r>
    </w:p>
    <w:p>
      <w:pPr>
        <w:numPr>
          <w:ilvl w:val="0"/>
          <w:numId w:val="2"/>
        </w:numPr>
        <w:spacing w:after="240"/>
        <w:ind w:left="720" w:right="0" w:hanging="210"/>
        <w:jc w:val="left"/>
        <w:rPr>
          <w:caps w:val="0"/>
        </w:rPr>
      </w:pPr>
      <w:r>
        <w:rPr>
          <w:rStyle w:val="s1"/>
          <w:caps w:val="0"/>
        </w:rPr>
        <w:t>Ulcerative colitis</w:t>
      </w:r>
    </w:p>
    <w:p>
      <w:pPr>
        <w:pStyle w:val="p1"/>
        <w:spacing w:before="240" w:after="240"/>
        <w:ind w:left="0" w:right="0"/>
        <w:rPr>
          <w:caps w:val="0"/>
        </w:rPr>
      </w:pPr>
      <w:r>
        <w:rPr>
          <w:caps w:val="0"/>
        </w:rPr>
        <w:t xml:space="preserve">You can learn more about all of our current studies </w:t>
      </w:r>
      <w:hyperlink r:id="rId6" w:history="1">
        <w:r>
          <w:rPr>
            <w:rStyle w:val="s2"/>
            <w:b/>
            <w:bCs/>
            <w:caps w:val="0"/>
            <w:color w:val="0000EE"/>
            <w:u w:val="single" w:color="0000EE"/>
          </w:rPr>
          <w:t>here</w:t>
        </w:r>
      </w:hyperlink>
      <w:r>
        <w:rPr>
          <w:caps w:val="0"/>
        </w:rPr>
        <w:t>.</w:t>
      </w:r>
    </w:p>
    <w:p>
      <w:pPr>
        <w:pStyle w:val="p1"/>
        <w:spacing w:before="240" w:after="240"/>
        <w:ind w:left="0" w:right="0"/>
        <w:rPr>
          <w:caps w:val="0"/>
        </w:rPr>
      </w:pPr>
      <w:r>
        <w:rPr>
          <w:b/>
          <w:bCs/>
          <w:caps w:val="0"/>
        </w:rPr>
        <w:t>How Do I Get Involved?</w:t>
      </w:r>
    </w:p>
    <w:p>
      <w:pPr>
        <w:pStyle w:val="p1"/>
        <w:spacing w:before="240" w:after="240"/>
        <w:ind w:left="0" w:right="0"/>
        <w:rPr>
          <w:caps w:val="0"/>
        </w:rPr>
      </w:pPr>
      <w:r>
        <w:rPr>
          <w:caps w:val="0"/>
        </w:rPr>
        <w:t xml:space="preserve">If you are interested in enrolling in a clinical study at The Louisiana Research Center, please click </w:t>
      </w:r>
      <w:hyperlink r:id="rId7" w:history="1">
        <w:r>
          <w:rPr>
            <w:rStyle w:val="s2"/>
            <w:b/>
            <w:bCs/>
            <w:caps w:val="0"/>
            <w:color w:val="0000EE"/>
            <w:u w:val="single" w:color="0000EE"/>
          </w:rPr>
          <w:t>this link</w:t>
        </w:r>
      </w:hyperlink>
      <w:r>
        <w:rPr>
          <w:caps w:val="0"/>
        </w:rPr>
        <w:t xml:space="preserve"> and fill out the contact form. One of our office staff will get in touch to discuss which trial may be right for you.</w:t>
      </w:r>
    </w:p>
    <w:p>
      <w:pPr>
        <w:pStyle w:val="p3"/>
        <w:spacing w:before="240" w:after="240"/>
        <w:ind w:left="0" w:right="0"/>
        <w:rPr>
          <w:caps w:val="0"/>
        </w:rPr>
      </w:pPr>
      <w:r>
        <w:rPr>
          <w:i/>
          <w:iCs/>
          <w:caps w:val="0"/>
        </w:rPr>
        <w:t>The team at GastroIntestinal Specialists, A.M.C., treats multiple conditions and diseases of the GI tract. Our Board-Certified physicians have over 150 years of combined experience in providing quality care you can trust. To schedule an appointment, call (318) 631-9121 or visit gis.md/appointment-request/.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1695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0fusion-column-wrapper">
    <w:name w:val="fusion-builder-column-0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
    <w:name w:val="fusion-imageframe_imageframe-1"/>
    <w:basedOn w:val="DefaultParagraphFont"/>
  </w:style>
  <w:style w:type="paragraph" w:customStyle="1" w:styleId="p1">
    <w:name w:val="p1"/>
    <w:basedOn w:val="Normal"/>
  </w:style>
  <w:style w:type="character" w:customStyle="1" w:styleId="s1">
    <w:name w:val="s1"/>
    <w:basedOn w:val="DefaultParagraphFont"/>
  </w:style>
  <w:style w:type="character" w:customStyle="1" w:styleId="s2">
    <w:name w:val="s2"/>
    <w:basedOn w:val="DefaultParagraphFont"/>
  </w:style>
  <w:style w:type="paragraph" w:customStyle="1" w:styleId="p3">
    <w:name w:val="p3"/>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meet-the-research-team/" TargetMode="External" /><Relationship Id="rId6" Type="http://schemas.openxmlformats.org/officeDocument/2006/relationships/hyperlink" Target="https://gis.md/current-studies/" TargetMode="External" /><Relationship Id="rId7" Type="http://schemas.openxmlformats.org/officeDocument/2006/relationships/hyperlink" Target="https://gis.md/how-do-i-get-involved/"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Louisiana Research Center</dc:title>
  <cp:revision>0</cp:revision>
</cp:coreProperties>
</file>