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Acute Diarrhea: Target the Source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2020-02-08 10:17:57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 w:after="240"/>
        <w:ind w:left="0" w:right="0"/>
      </w:pPr>
      <w:r>
        <w:rPr>
          <w:strike w:val="0"/>
          <w:u w:val="none"/>
        </w:rPr>
        <w:drawing>
          <wp:inline>
            <wp:extent cx="12068175" cy="4200525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6817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40" w:after="240"/>
        <w:ind w:left="0" w:right="0"/>
      </w:pPr>
      <w:r>
        <w:t>GastroIntestinal Specialist is pleased to announce the addition of the FilmArray® Gastrointestinal (GI) panel. The FilmArray panel tests for common GI pathogens including viruses, bacteria and parasites that cause infectious diarrhea.</w:t>
      </w:r>
    </w:p>
    <w:p>
      <w:pPr>
        <w:spacing w:before="240" w:after="240"/>
        <w:ind w:left="0" w:right="0"/>
      </w:pPr>
      <w:r>
        <w:rPr>
          <w:b/>
          <w:bCs/>
        </w:rPr>
        <w:t>Who Should be tested on the GI Panel?</w:t>
      </w:r>
    </w:p>
    <w:p>
      <w:pPr>
        <w:numPr>
          <w:ilvl w:val="0"/>
          <w:numId w:val="1"/>
        </w:numPr>
        <w:spacing w:before="240"/>
        <w:ind w:left="720" w:right="0" w:hanging="210"/>
        <w:jc w:val="left"/>
      </w:pPr>
      <w:r>
        <w:t>Individuals with moderate-to-severe symptoms associated with acute diarrhea</w:t>
      </w:r>
    </w:p>
    <w:p>
      <w:pPr>
        <w:numPr>
          <w:ilvl w:val="0"/>
          <w:numId w:val="1"/>
        </w:numPr>
        <w:ind w:left="720" w:right="0" w:hanging="210"/>
        <w:jc w:val="left"/>
      </w:pPr>
      <w:r>
        <w:t>Individuals at high risk of spreading diseases to others and during known or suspected outbreaks</w:t>
      </w:r>
    </w:p>
    <w:p>
      <w:pPr>
        <w:numPr>
          <w:ilvl w:val="0"/>
          <w:numId w:val="1"/>
        </w:numPr>
        <w:ind w:left="720" w:right="0" w:hanging="210"/>
        <w:jc w:val="left"/>
      </w:pPr>
      <w:r>
        <w:t>Individuals with dysentery</w:t>
      </w:r>
    </w:p>
    <w:p>
      <w:pPr>
        <w:numPr>
          <w:ilvl w:val="0"/>
          <w:numId w:val="1"/>
        </w:numPr>
        <w:spacing w:after="240"/>
        <w:ind w:left="720" w:right="0" w:hanging="210"/>
        <w:jc w:val="left"/>
      </w:pPr>
      <w:r>
        <w:t>Individuals with acute diarrhea lasting &gt;7 days</w:t>
      </w:r>
    </w:p>
    <w:p>
      <w:pPr>
        <w:pStyle w:val="Heading4"/>
        <w:keepNext w:val="0"/>
        <w:keepLines w:val="0"/>
        <w:spacing w:before="319" w:after="319"/>
        <w:ind w:left="0" w:right="0"/>
        <w:rPr>
          <w:b/>
          <w:bCs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</w:rPr>
        <w:t>1 test. 22 GI pathogens. Faster Results.</w:t>
      </w:r>
    </w:p>
    <w:p>
      <w:pPr>
        <w:spacing w:before="240" w:after="240"/>
        <w:ind w:left="0" w:right="0"/>
      </w:pPr>
      <w:r>
        <w:rPr>
          <w:b/>
          <w:bCs/>
        </w:rPr>
        <w:t xml:space="preserve">GI Panel Menu </w:t>
      </w:r>
    </w:p>
    <w:p>
      <w:pPr>
        <w:spacing w:before="240" w:after="240"/>
        <w:ind w:left="0" w:right="0"/>
      </w:pPr>
      <w:r>
        <w:rPr>
          <w:b/>
          <w:bCs/>
        </w:rPr>
        <w:t xml:space="preserve">BACTERIA: </w:t>
      </w:r>
    </w:p>
    <w:p>
      <w:pPr>
        <w:numPr>
          <w:ilvl w:val="0"/>
          <w:numId w:val="2"/>
        </w:numPr>
        <w:spacing w:before="240"/>
        <w:ind w:left="720" w:right="0" w:hanging="210"/>
        <w:jc w:val="left"/>
      </w:pPr>
      <w:r>
        <w:t>Campylobacter (jejuni, coli, and upsaliensis)</w:t>
      </w:r>
    </w:p>
    <w:p>
      <w:pPr>
        <w:numPr>
          <w:ilvl w:val="0"/>
          <w:numId w:val="2"/>
        </w:numPr>
        <w:ind w:left="720" w:right="0" w:hanging="210"/>
        <w:jc w:val="left"/>
      </w:pPr>
      <w:r>
        <w:t>Clostridium difficile (toxin A/B)</w:t>
      </w:r>
    </w:p>
    <w:p>
      <w:pPr>
        <w:numPr>
          <w:ilvl w:val="0"/>
          <w:numId w:val="2"/>
        </w:numPr>
        <w:ind w:left="720" w:right="0" w:hanging="210"/>
        <w:jc w:val="left"/>
      </w:pPr>
      <w:r>
        <w:t>Plesiomonasshigelloides</w:t>
      </w:r>
    </w:p>
    <w:p>
      <w:pPr>
        <w:numPr>
          <w:ilvl w:val="0"/>
          <w:numId w:val="2"/>
        </w:numPr>
        <w:ind w:left="720" w:right="0" w:hanging="210"/>
        <w:jc w:val="left"/>
      </w:pPr>
      <w:r>
        <w:t>Salmonella</w:t>
      </w:r>
    </w:p>
    <w:p>
      <w:pPr>
        <w:numPr>
          <w:ilvl w:val="0"/>
          <w:numId w:val="2"/>
        </w:numPr>
        <w:ind w:left="720" w:right="0" w:hanging="210"/>
        <w:jc w:val="left"/>
      </w:pPr>
      <w:r>
        <w:t>Yersinia enterocolitica</w:t>
      </w:r>
    </w:p>
    <w:p>
      <w:pPr>
        <w:numPr>
          <w:ilvl w:val="0"/>
          <w:numId w:val="2"/>
        </w:numPr>
        <w:ind w:left="720" w:right="0" w:hanging="210"/>
        <w:jc w:val="left"/>
      </w:pPr>
      <w:r>
        <w:t>Vibrio (parahaemolyticus, vulnificus, and cholerae)</w:t>
      </w:r>
    </w:p>
    <w:p>
      <w:pPr>
        <w:numPr>
          <w:ilvl w:val="0"/>
          <w:numId w:val="2"/>
        </w:numPr>
        <w:spacing w:after="240"/>
        <w:ind w:left="720" w:right="0" w:hanging="210"/>
        <w:jc w:val="left"/>
      </w:pPr>
      <w:r>
        <w:t>Vibrio cholerae</w:t>
      </w:r>
    </w:p>
    <w:p>
      <w:pPr>
        <w:spacing w:before="240" w:after="240"/>
        <w:ind w:left="0" w:right="0"/>
      </w:pPr>
      <w:r>
        <w:rPr>
          <w:b/>
          <w:bCs/>
        </w:rPr>
        <w:t xml:space="preserve">DIARRHEAGENIC E. COLI/SHIGELLA: </w:t>
      </w:r>
    </w:p>
    <w:p>
      <w:pPr>
        <w:numPr>
          <w:ilvl w:val="0"/>
          <w:numId w:val="3"/>
        </w:numPr>
        <w:spacing w:before="240"/>
        <w:ind w:left="720" w:right="0" w:hanging="210"/>
        <w:jc w:val="left"/>
      </w:pPr>
      <w:r>
        <w:t>Enteroaggregative E. coli (EAEC)</w:t>
      </w:r>
    </w:p>
    <w:p>
      <w:pPr>
        <w:numPr>
          <w:ilvl w:val="0"/>
          <w:numId w:val="3"/>
        </w:numPr>
        <w:ind w:left="720" w:right="0" w:hanging="210"/>
        <w:jc w:val="left"/>
      </w:pPr>
      <w:r>
        <w:t>Enteropathogenic E. coli (EPEC)</w:t>
      </w:r>
    </w:p>
    <w:p>
      <w:pPr>
        <w:numPr>
          <w:ilvl w:val="0"/>
          <w:numId w:val="3"/>
        </w:numPr>
        <w:ind w:left="720" w:right="0" w:hanging="210"/>
        <w:jc w:val="left"/>
      </w:pPr>
      <w:r>
        <w:t>Enterotoxigenic E. coli (ETEC) lt/st</w:t>
      </w:r>
    </w:p>
    <w:p>
      <w:pPr>
        <w:numPr>
          <w:ilvl w:val="0"/>
          <w:numId w:val="3"/>
        </w:numPr>
        <w:ind w:left="720" w:right="0" w:hanging="210"/>
        <w:jc w:val="left"/>
      </w:pPr>
      <w:r>
        <w:t>Shiga-like toxin-producing E. coli (STEC) stx1/stx2</w:t>
      </w:r>
    </w:p>
    <w:p>
      <w:pPr>
        <w:numPr>
          <w:ilvl w:val="0"/>
          <w:numId w:val="3"/>
        </w:numPr>
        <w:ind w:left="720" w:right="0" w:hanging="210"/>
        <w:jc w:val="left"/>
      </w:pPr>
      <w:r>
        <w:t>E. coli O157</w:t>
      </w:r>
    </w:p>
    <w:p>
      <w:pPr>
        <w:numPr>
          <w:ilvl w:val="0"/>
          <w:numId w:val="3"/>
        </w:numPr>
        <w:spacing w:after="240"/>
        <w:ind w:left="720" w:right="0" w:hanging="210"/>
        <w:jc w:val="left"/>
      </w:pPr>
      <w:r>
        <w:t>Shigella/Enteroinvasive E. coli (EIEC)</w:t>
      </w:r>
    </w:p>
    <w:p>
      <w:pPr>
        <w:spacing w:before="240" w:after="240"/>
        <w:ind w:left="0" w:right="0"/>
      </w:pPr>
      <w:r>
        <w:rPr>
          <w:b/>
          <w:bCs/>
        </w:rPr>
        <w:t>PARASITES:</w:t>
      </w:r>
    </w:p>
    <w:p>
      <w:pPr>
        <w:numPr>
          <w:ilvl w:val="0"/>
          <w:numId w:val="4"/>
        </w:numPr>
        <w:spacing w:before="240"/>
        <w:ind w:left="720" w:right="0" w:hanging="210"/>
        <w:jc w:val="left"/>
      </w:pPr>
      <w:r>
        <w:t>Cryptosporidium</w:t>
      </w:r>
    </w:p>
    <w:p>
      <w:pPr>
        <w:numPr>
          <w:ilvl w:val="0"/>
          <w:numId w:val="4"/>
        </w:numPr>
        <w:ind w:left="720" w:right="0" w:hanging="210"/>
        <w:jc w:val="left"/>
      </w:pPr>
      <w:r>
        <w:t>Cyclosporacayetanensis</w:t>
      </w:r>
    </w:p>
    <w:p>
      <w:pPr>
        <w:numPr>
          <w:ilvl w:val="0"/>
          <w:numId w:val="4"/>
        </w:numPr>
        <w:ind w:left="720" w:right="0" w:hanging="210"/>
        <w:jc w:val="left"/>
      </w:pPr>
      <w:r>
        <w:t>Entamoebahistolytica</w:t>
      </w:r>
    </w:p>
    <w:p>
      <w:pPr>
        <w:numPr>
          <w:ilvl w:val="0"/>
          <w:numId w:val="4"/>
        </w:numPr>
        <w:spacing w:after="240"/>
        <w:ind w:left="720" w:right="0" w:hanging="210"/>
        <w:jc w:val="left"/>
      </w:pPr>
      <w:r>
        <w:t>Giardia lamblia</w:t>
      </w:r>
    </w:p>
    <w:p>
      <w:pPr>
        <w:spacing w:before="240" w:after="240"/>
        <w:ind w:left="0" w:right="0"/>
      </w:pPr>
      <w:r>
        <w:rPr>
          <w:b/>
          <w:bCs/>
        </w:rPr>
        <w:t>VIRUSES:</w:t>
      </w:r>
    </w:p>
    <w:p>
      <w:pPr>
        <w:numPr>
          <w:ilvl w:val="0"/>
          <w:numId w:val="5"/>
        </w:numPr>
        <w:spacing w:before="240"/>
        <w:ind w:left="720" w:right="0" w:hanging="210"/>
        <w:jc w:val="left"/>
      </w:pPr>
      <w:r>
        <w:t>Adenovirus F40/41</w:t>
      </w:r>
    </w:p>
    <w:p>
      <w:pPr>
        <w:numPr>
          <w:ilvl w:val="0"/>
          <w:numId w:val="5"/>
        </w:numPr>
        <w:ind w:left="720" w:right="0" w:hanging="210"/>
        <w:jc w:val="left"/>
      </w:pPr>
      <w:r>
        <w:t>Astrovirus</w:t>
      </w:r>
    </w:p>
    <w:p>
      <w:pPr>
        <w:numPr>
          <w:ilvl w:val="0"/>
          <w:numId w:val="5"/>
        </w:numPr>
        <w:ind w:left="720" w:right="0" w:hanging="210"/>
        <w:jc w:val="left"/>
      </w:pPr>
      <w:r>
        <w:t>Norovirus GI/GII</w:t>
      </w:r>
    </w:p>
    <w:p>
      <w:pPr>
        <w:numPr>
          <w:ilvl w:val="0"/>
          <w:numId w:val="5"/>
        </w:numPr>
        <w:ind w:left="720" w:right="0" w:hanging="210"/>
        <w:jc w:val="left"/>
      </w:pPr>
      <w:r>
        <w:t>Rotavirus A</w:t>
      </w:r>
    </w:p>
    <w:p>
      <w:pPr>
        <w:numPr>
          <w:ilvl w:val="0"/>
          <w:numId w:val="5"/>
        </w:numPr>
        <w:spacing w:after="240"/>
        <w:ind w:left="720" w:right="0" w:hanging="210"/>
        <w:jc w:val="left"/>
      </w:pPr>
      <w:r>
        <w:t>Sapovirus (I, II, IV, and V)</w:t>
      </w:r>
    </w:p>
    <w:p>
      <w:pPr>
        <w:spacing w:before="240" w:after="300"/>
        <w:ind w:left="0" w:right="0"/>
      </w:pPr>
      <w:r>
        <w:t>For testing information, please call (318) 631-9121.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pyre_portfolio_width_100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pyre_video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pyre_post_pagination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pyre_image_rollover_icons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pyre_link_icon_url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pyre_post_links_target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pyre_post_meta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pyre_share_box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pyre_author_info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pyre_related_posts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pyre_post_comments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last_name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login_date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815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11-09-2023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hybridMulti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hybridMultilevel"/>
    <w:tmpl w:val="000000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Acute Diarrhea: Target the Source</dc:title>
  <cp:revision>0</cp:revision>
</cp:coreProperties>
</file>